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74835">
      <w:pPr>
        <w:spacing w:line="640" w:lineRule="exact"/>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w:t>
      </w:r>
    </w:p>
    <w:p w14:paraId="5A3C0E0B">
      <w:pPr>
        <w:rPr>
          <w:rFonts w:ascii="仿宋_GB2312" w:hAnsi="Times New Roman" w:eastAsia="仿宋_GB2312" w:cs="Times New Roman"/>
          <w:sz w:val="32"/>
          <w:szCs w:val="32"/>
        </w:rPr>
      </w:pPr>
    </w:p>
    <w:p w14:paraId="4FBF1BCD">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黑龙江省支持人工智能创新发展</w:t>
      </w:r>
    </w:p>
    <w:p w14:paraId="7B75DAA3">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若干政策措施</w:t>
      </w:r>
    </w:p>
    <w:p w14:paraId="0C74A7C2">
      <w:pPr>
        <w:rPr>
          <w:rFonts w:ascii="仿宋_GB2312" w:hAnsi="Times New Roman" w:eastAsia="仿宋_GB2312" w:cs="Times New Roman"/>
          <w:sz w:val="32"/>
          <w:szCs w:val="32"/>
        </w:rPr>
      </w:pPr>
    </w:p>
    <w:p w14:paraId="01F5E9F6">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为全面贯彻落实《国务院关于深入实施“人工智能+”行动的意见》，积极推进“人工智能+”行动，结合我省产业基础和发展实际，制定本政策措施。</w:t>
      </w:r>
    </w:p>
    <w:p w14:paraId="1D9AA7DD">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黑体" w:hAnsi="黑体" w:eastAsia="黑体" w:cs="Times New Roman"/>
          <w:sz w:val="32"/>
          <w:szCs w:val="32"/>
        </w:rPr>
        <w:t>一、增强科技创新支撑</w:t>
      </w:r>
    </w:p>
    <w:p w14:paraId="04F8EA2F">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推动人工智能关键技术攻关。在省自然科学基金中公开征集人工智能赋能科学研究项目指南，鼓励使用人工智能科研工具开展基础研究。通过“揭榜挂帅”、“赛马”等方式，在省重点研发计划中围绕人工智能行业及垂直大模型、基础软件、智能硬件等领域开展关键核心技术攻关，对符合条件的项目给予支持。〔责任单位：省发展改革委、省科技厅、省工业和信息化厅、省财政厅〕</w:t>
      </w:r>
    </w:p>
    <w:p w14:paraId="2B8309C2">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2.推动人工智能创新平台建设。支持企业围绕人工智能领域，牵头建设产业技术工程化中心、技术创新中心和制造业创新中心等创新平台。对人工智能产业领域获批的国家级、部级、省级创新平台按有关规定给予奖励。〔责任单位：省发展改革委、省科技厅、省工业和信息化厅、省财政厅〕</w:t>
      </w:r>
    </w:p>
    <w:p w14:paraId="6A548DB1">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3.支持人工智能企业加大研发投入。促进人工智能企业技术创新能力快速提升，推动企业成为技术创新、研发投入、成果转化的主体。对研发投入50万元以上且符合条件的人工智能企业，按照企业上年度研发投入存量和增量部分，给予基础比例上浮50%的补助支持，累计最高不超过1500万元。〔责任单位：省发展改革委、省科技厅、省工业和信息化厅、省财政厅，各市（地）人民政府（行署）〕</w:t>
      </w:r>
    </w:p>
    <w:p w14:paraId="362B2962">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4.推动科技成果转化应用。支持人工智能企业联合高校、科</w:t>
      </w:r>
      <w:r>
        <w:rPr>
          <w:rFonts w:hint="eastAsia" w:ascii="仿宋_GB2312" w:hAnsi="Times New Roman" w:eastAsia="仿宋_GB2312" w:cs="Times New Roman"/>
          <w:spacing w:val="-4"/>
          <w:sz w:val="32"/>
          <w:szCs w:val="32"/>
        </w:rPr>
        <w:t>研院所建设一批概念验证中心和中试熟化平台，打通“概念验证</w:t>
      </w:r>
      <w:r>
        <w:rPr>
          <w:rFonts w:hint="eastAsia" w:ascii="仿宋_GB2312" w:hAnsi="Times New Roman" w:eastAsia="仿宋_GB2312" w:cs="Times New Roman"/>
          <w:sz w:val="32"/>
          <w:szCs w:val="32"/>
        </w:rPr>
        <w:t>—中试验证—成果产业化”全过程。按标准对符合条件的人工智能领域概念验证中心、中试熟化平台，根据绩效评价结果，按总投资额的30%最高给予1000万元资助。〔责任单位：省发展改革委、省科技厅、省财政厅〕</w:t>
      </w:r>
    </w:p>
    <w:p w14:paraId="668DFFD6">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黑体" w:hAnsi="黑体" w:eastAsia="黑体" w:cs="Times New Roman"/>
          <w:sz w:val="32"/>
          <w:szCs w:val="32"/>
        </w:rPr>
        <w:t>二、加大关键要素供给</w:t>
      </w:r>
    </w:p>
    <w:p w14:paraId="0CD19453">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5.支持算力普惠应用。大力提升绿色、低成本算力供给能力，对符合条件的算力中心项目，在用地、用水、供电、信息通信、能评、环评等方面给予保障。支持高校、科研院所、企业等各类创新主体购买算力赋能“人工智能+”应用场景，对实际购买符合相关要求的算力服务商算力资源超过30万元的，按实际支出额给予30%创新消费奖励，每个单位每年奖励最高不超过400万元。〔责任单位：省发展改革委、省工业和信息化厅、省财政厅，各市（地）人民政府（行署）〕</w:t>
      </w:r>
    </w:p>
    <w:p w14:paraId="34A4768D">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6.支持高质量数据开放供给。加大公共数据授权运营，鼓励企业建设可信数据空间。支持企业、高校、科研院所等围绕工业制造、农业农村、医疗卫生、文化旅游、交通运输、金融服务、应急管理、气象服务、城市治理等重点领域，积极开展行业高质量数据集建设。每年支持建设一批人工智能高质量数据集项目，根据其数据规模、价值密度及应用效果，单个给予最高200万元的补助。对获得批复的国家行业高质量数据集项目，按照核定总投资的10%给予补助，单个项目支持金额最高不超过1000万元。探索数据交易共享机制，推动数据开源开放，支持采购数据集、数据接口、数据模型等数据产品，按照年度数据交易金额的10%，给予采购主体“数据券”补贴，单个采购主体年度补贴最高不超过100万元。支持省级数据标注基地所在市（地）加大资金政策扶持力度，加快发展数据标注产业。〔责任单位：省发展改革委、省财政厅、省数据局，各市（地）人民政府（行署）〕</w:t>
      </w:r>
    </w:p>
    <w:p w14:paraId="7AAC1A06">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7.支持大模型研发应用。加快推动垂直大模型在重点领域的部署应用，对符合条件的采购主体，经评审按照一定比例给予“模型券”补贴，单个采购主体年度补贴最高不超过100万元，对于在关键领域应用规模较大的项目，可按照一定比例上浮。鼓励企业自主研发大模型申请国家生成式人工智能大模型备案。〔责任单位：省发展改革委、省财政厅〕</w:t>
      </w:r>
    </w:p>
    <w:p w14:paraId="7B54B27D">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黑体" w:hAnsi="黑体" w:eastAsia="黑体" w:cs="Times New Roman"/>
          <w:sz w:val="32"/>
          <w:szCs w:val="32"/>
        </w:rPr>
        <w:t>三、深化人工智能推广应用</w:t>
      </w:r>
    </w:p>
    <w:p w14:paraId="22C906EC">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8.培育高价值应用场景。压实“管行业管人工智能赋能应用”责任，在农业、制造、能源、文旅、消费、就业、教育、医疗卫生、养老托育助残、交通运输、低空经济、社会治理、安全治理等重点领域谋划建设一批典型应用场景。每年遴选10个标杆示范场景，按项目核定总投资的20%给予支持，单个场景支持金额最高不超过2000万元。对人工智能应用重点项目，强化项目要素保障。支持前期工作成熟、示范作用突出的人工智能应用重点项目申报超长期特别国债、中央预算内投资和地方政府专项债券。〔责任单位：省发展改革委、省教育厅、省工业和信息化厅、省公安厅、省民政厅、省财政厅、省人力资源社会保障厅、省交通运输厅、省农业农村厅、省商务厅、省文化和旅游厅、省卫生健康委、省应急管理厅、省营商环境局〕</w:t>
      </w:r>
    </w:p>
    <w:p w14:paraId="34BBD020">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9.推广新一代智能终端与智能体。支持新一代智能终端、智能体、智能芯片、智能装备、具身智能等新技术新产品研发，按规定享受省首台（套）、省重点新产品支持政策。面向新一代智能终端与智能体等领域研发制造，对新建总投资2000万元（含）以上的项目，采取分阶段投资补助方式，按照项目核定总投资的20%安排补助资金，原则上单个项目支持金额不超过5000万元。〔责任单位：省发展改革委、省工业和信息化厅、省财政厅〕</w:t>
      </w:r>
    </w:p>
    <w:p w14:paraId="1D0C2DEB">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10.扩大智能终端消费。鼓励将智能家居机器人、智能眼镜、智能健康等智能终端产品纳入消费品以旧换新补贴范围。〔责任单位：省商务厅、省财政厅〕</w:t>
      </w:r>
    </w:p>
    <w:p w14:paraId="7D47C6A3">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11.举办创新应用活动。支持企业、高校、科研院所举办人工智能高水平赛事、学术研讨、产学研对接等活动，力争打造具有全国影响力的活动，对重大活动予以支持保障。利用“首发经济”激发市场活力，推动人工智能产业从技术突破迈向市场引领。支持人工智能企业举办有影响力的新品发布会、技术峰会和应用示范活动。对符合条件的首发、首秀、首展活动，按照实际发生费用的30%，给予最高30万元补助资金。〔责任单位：省发展改革委、省教育厅、省科技厅、省工业和信息化厅、省商务厅、省财政厅、省数据局〕</w:t>
      </w:r>
    </w:p>
    <w:p w14:paraId="4603BC79">
      <w:pPr>
        <w:spacing w:line="640" w:lineRule="exact"/>
        <w:rPr>
          <w:rFonts w:ascii="黑体" w:hAnsi="黑体" w:eastAsia="黑体" w:cs="Times New Roman"/>
          <w:sz w:val="32"/>
          <w:szCs w:val="32"/>
        </w:rPr>
      </w:pPr>
      <w:r>
        <w:rPr>
          <w:rFonts w:hint="eastAsia" w:ascii="仿宋_GB2312" w:hAnsi="Times New Roman" w:eastAsia="仿宋_GB2312" w:cs="Times New Roman"/>
          <w:sz w:val="32"/>
          <w:szCs w:val="32"/>
        </w:rPr>
        <w:t>　　</w:t>
      </w:r>
      <w:r>
        <w:rPr>
          <w:rFonts w:hint="eastAsia" w:ascii="黑体" w:hAnsi="黑体" w:eastAsia="黑体" w:cs="Times New Roman"/>
          <w:sz w:val="32"/>
          <w:szCs w:val="32"/>
        </w:rPr>
        <w:t>四、培育产业发展生态</w:t>
      </w:r>
    </w:p>
    <w:p w14:paraId="62D1D737">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12.培育壮大优质企业。实施人工智能领域企业培育行动，构建由“瞪羚”企业、“独角兽”企业、专精特新“小巨人”企业、单项冠军企业等构成的人工智能企业体系。鼓励软件信息服务企业智能化转型，重构产品形态和服务模式。对人工智能领域新认定的国家级单项冠军企业给予单户一次性最高200万元补助，国家级专精特新“小巨人”企业给予单户一次性最高100万元补助。落实人工智能领域集成电路企业所得税、增值税等税收优惠政策。〔责任单位：省发展改革委、省工业和信息化厅、省财政厅〕</w:t>
      </w:r>
    </w:p>
    <w:p w14:paraId="3C84FFAC">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13.推动人工智能应用中试基地建设。鼓励具备突出行业优势的主体建设人工智能行业应用中试基地，支持开展中试验证和算法模型、典型场景的批量“孵化”。安排省级前期工作经费支持符合条件的国家人工智能应用中试基地申报项目。对国家批复建设的人工智能应用中试基地项目，按最高不超过国家支持额度的20%给予配套补助，单个项目支持金额不超过1亿元。〔责任单位：省发展改革委、省财政厅〕</w:t>
      </w:r>
    </w:p>
    <w:p w14:paraId="444FA82C">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14.加强知识产权保护。充分发挥黑龙江省知识产权保护中心作用，积极为我省人工智能产业创新主体提供专利快速审查、快速确权、专利导航等“一站式”知识产权综合服务。畅通专利预审通道，扩展专利预审类别，将人工智能核心技术纳入优先预审目录，缩短专利授权时间。鼓励培育高价值专利。〔责任单位：省知识产权局〕</w:t>
      </w:r>
    </w:p>
    <w:p w14:paraId="220F2E11">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15.加大金融支持力度。筹设省内人工智能领域基金，用好龙江天使投资基金和龙江创业投资基金，引导金融资本投早、投小、投长期、投硬科技，满足人工智能企业不同生命周期阶段的融资需求。积极利用新型政策性金融工具，降低“人工智能+”项目资本金自筹比例。鼓励政府性融资担保机构创新科技担保服务方式和手段，发挥政府性融资担保机构增信分险作用。鼓励银行机构创新“科新贷”、“知识产权质押贷款”、“科技人才贷”、“研发贷”等金融产品和服务，以投贷联动方式支持人工智能关键技术研发、成果转化和产业化，在依法合规、风险可控、商业可持续前提下加大对人工智能企业的信贷支持力度。〔责任单位：省地方金融管理局、省发展改革委、省科技厅、省财政厅、人民银行黑龙江省分行、黑龙江金融监管局、黑龙江证监局〕</w:t>
      </w:r>
    </w:p>
    <w:p w14:paraId="72D131CD">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16.强化人才引育。注重引进人工智能领域高端产业人才和优秀青年人才，支持省属普通高校、科研院所等事业单位自主评价人才。支持人工智能领域优秀专业技术人才不受学历、资历、任职年限等条件限制，申报高级职称破格晋升。支持人工智能领域符合条件的高技能领军人才建设技能大师工作室，促进领军人才岗位成长。优化实施省级人才支持计划，支持在人工智能领域取得重要创新成果、突破关键核心技术、引领战略性新兴产业发展，或者拥有核心自主知识产权在我省创办科技型企业、能够产生显著经济效益的海内外人才申报我省人才支持计划，并按规定给予入选者相应经费支持，必要时采取“一事一议”方式重点支持。〔责任单位：省教育厅、省科技厅、省人力资源社会保障厅〕</w:t>
      </w:r>
    </w:p>
    <w:p w14:paraId="7BBFCCF0">
      <w:pPr>
        <w:spacing w:line="6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本政策措施自印发之日起实施，有效期3年。实施期间如遇国家和本省相关政策调整，按照最新政策规定执行。符合本政策措施扶持条件的企业和项目，同时符合省其他领域有关政策扶持条件的，按照从高不重复的原则予以支持，另有规定除外。</w:t>
      </w:r>
    </w:p>
    <w:p w14:paraId="269F69C9">
      <w:pPr>
        <w:spacing w:line="640" w:lineRule="exact"/>
        <w:rPr>
          <w:rFonts w:ascii="仿宋_GB2312" w:hAnsi="Times New Roman" w:eastAsia="仿宋_GB2312" w:cs="Times New Roman"/>
          <w:sz w:val="32"/>
          <w:szCs w:val="32"/>
        </w:rPr>
      </w:pPr>
    </w:p>
    <w:sectPr>
      <w:footerReference r:id="rId3" w:type="default"/>
      <w:footerReference r:id="rId4" w:type="even"/>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A92BC1-7D98-4381-AC16-A86FA27200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2734508-A0D0-4FF3-A078-1454767289E3}"/>
  </w:font>
  <w:font w:name="方正小标宋简体">
    <w:panose1 w:val="02010600010101010101"/>
    <w:charset w:val="86"/>
    <w:family w:val="script"/>
    <w:pitch w:val="default"/>
    <w:sig w:usb0="00000001" w:usb1="080E0000" w:usb2="00000000" w:usb3="00000000" w:csb0="00040000" w:csb1="00000000"/>
    <w:embedRegular r:id="rId3" w:fontKey="{C5736D55-01D0-46DA-8991-9FE83AC3C081}"/>
  </w:font>
  <w:font w:name="仿宋">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03AB">
    <w:pPr>
      <w:pStyle w:val="3"/>
      <w:ind w:left="360" w:right="140"/>
      <w:jc w:val="right"/>
      <w:rPr>
        <w:rFonts w:ascii="Times New Roman" w:hAnsi="Times New Roman" w:cs="Times New Roman"/>
        <w:sz w:val="28"/>
        <w:szCs w:val="28"/>
      </w:rPr>
    </w:pPr>
    <w:r>
      <w:rPr>
        <w:rFonts w:hint="eastAsia" w:ascii="Times New Roman" w:hAnsi="Times New Roman" w:cs="Times New Roman"/>
        <w:sz w:val="28"/>
        <w:szCs w:val="28"/>
      </w:rPr>
      <w:t>—</w:t>
    </w:r>
    <w:sdt>
      <w:sdtPr>
        <w:rPr>
          <w:rFonts w:ascii="Times New Roman" w:hAnsi="Times New Roman" w:cs="Times New Roman"/>
          <w:sz w:val="28"/>
          <w:szCs w:val="28"/>
        </w:rPr>
        <w:id w:val="3720968"/>
        <w:docPartObj>
          <w:docPartGallery w:val="autotext"/>
        </w:docPartObj>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E940">
    <w:pPr>
      <w:pStyle w:val="3"/>
      <w:rPr>
        <w:rFonts w:ascii="Times New Roman" w:hAnsi="Times New Roman" w:cs="Times New Roman"/>
        <w:sz w:val="28"/>
        <w:szCs w:val="28"/>
      </w:rPr>
    </w:pPr>
    <w:r>
      <w:rPr>
        <w:rFonts w:hint="eastAsia" w:ascii="Times New Roman" w:hAnsi="Times New Roman" w:cs="Times New Roman"/>
        <w:sz w:val="28"/>
        <w:szCs w:val="28"/>
      </w:rPr>
      <w:t xml:space="preserve">— </w:t>
    </w:r>
    <w:sdt>
      <w:sdtPr>
        <w:rPr>
          <w:rFonts w:ascii="Times New Roman" w:hAnsi="Times New Roman" w:cs="Times New Roman"/>
          <w:sz w:val="28"/>
          <w:szCs w:val="28"/>
        </w:rPr>
        <w:id w:val="372096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8C"/>
    <w:rsid w:val="000023E1"/>
    <w:rsid w:val="00023A79"/>
    <w:rsid w:val="00037CAF"/>
    <w:rsid w:val="00050A46"/>
    <w:rsid w:val="00071BE6"/>
    <w:rsid w:val="00076C5C"/>
    <w:rsid w:val="000D3C5F"/>
    <w:rsid w:val="000F2A0E"/>
    <w:rsid w:val="00137325"/>
    <w:rsid w:val="001A1D33"/>
    <w:rsid w:val="001A2A1D"/>
    <w:rsid w:val="001D7D7F"/>
    <w:rsid w:val="001E5A4B"/>
    <w:rsid w:val="001F4C6B"/>
    <w:rsid w:val="00211FBD"/>
    <w:rsid w:val="0023516E"/>
    <w:rsid w:val="002505BD"/>
    <w:rsid w:val="002649C8"/>
    <w:rsid w:val="002A6534"/>
    <w:rsid w:val="002C7411"/>
    <w:rsid w:val="003258A6"/>
    <w:rsid w:val="003453F3"/>
    <w:rsid w:val="00355250"/>
    <w:rsid w:val="003A11DA"/>
    <w:rsid w:val="003D1D9B"/>
    <w:rsid w:val="00401680"/>
    <w:rsid w:val="00421E67"/>
    <w:rsid w:val="004465E0"/>
    <w:rsid w:val="00454631"/>
    <w:rsid w:val="004573ED"/>
    <w:rsid w:val="004B176A"/>
    <w:rsid w:val="00503B5B"/>
    <w:rsid w:val="00532915"/>
    <w:rsid w:val="00555824"/>
    <w:rsid w:val="00593988"/>
    <w:rsid w:val="0059487D"/>
    <w:rsid w:val="005A5391"/>
    <w:rsid w:val="005B0B8C"/>
    <w:rsid w:val="005F0E1F"/>
    <w:rsid w:val="0060233C"/>
    <w:rsid w:val="0060380C"/>
    <w:rsid w:val="00607A32"/>
    <w:rsid w:val="00623893"/>
    <w:rsid w:val="00645348"/>
    <w:rsid w:val="006811B3"/>
    <w:rsid w:val="00691581"/>
    <w:rsid w:val="006A2AF3"/>
    <w:rsid w:val="006D373E"/>
    <w:rsid w:val="00727181"/>
    <w:rsid w:val="00751531"/>
    <w:rsid w:val="007601C5"/>
    <w:rsid w:val="00767499"/>
    <w:rsid w:val="00784D57"/>
    <w:rsid w:val="00790267"/>
    <w:rsid w:val="00791DD6"/>
    <w:rsid w:val="00821F83"/>
    <w:rsid w:val="008E4BB4"/>
    <w:rsid w:val="00926538"/>
    <w:rsid w:val="00985705"/>
    <w:rsid w:val="009D17B4"/>
    <w:rsid w:val="009F6AB7"/>
    <w:rsid w:val="00A17484"/>
    <w:rsid w:val="00A36860"/>
    <w:rsid w:val="00A67602"/>
    <w:rsid w:val="00A71940"/>
    <w:rsid w:val="00A83633"/>
    <w:rsid w:val="00AB1D60"/>
    <w:rsid w:val="00AE6047"/>
    <w:rsid w:val="00AE769B"/>
    <w:rsid w:val="00AF73F4"/>
    <w:rsid w:val="00B20A58"/>
    <w:rsid w:val="00B8499C"/>
    <w:rsid w:val="00BA1891"/>
    <w:rsid w:val="00BA3033"/>
    <w:rsid w:val="00BB2B07"/>
    <w:rsid w:val="00BD1C93"/>
    <w:rsid w:val="00C051A0"/>
    <w:rsid w:val="00C24FC3"/>
    <w:rsid w:val="00C3379F"/>
    <w:rsid w:val="00C436D7"/>
    <w:rsid w:val="00C601A2"/>
    <w:rsid w:val="00CA0703"/>
    <w:rsid w:val="00CA3D74"/>
    <w:rsid w:val="00CC058B"/>
    <w:rsid w:val="00CD7A60"/>
    <w:rsid w:val="00D046D1"/>
    <w:rsid w:val="00D23CCD"/>
    <w:rsid w:val="00D400B0"/>
    <w:rsid w:val="00D865FE"/>
    <w:rsid w:val="00D93D8C"/>
    <w:rsid w:val="00DB14C9"/>
    <w:rsid w:val="00E156B6"/>
    <w:rsid w:val="00E16153"/>
    <w:rsid w:val="00E3017F"/>
    <w:rsid w:val="00E313C3"/>
    <w:rsid w:val="00E957DB"/>
    <w:rsid w:val="00F23C55"/>
    <w:rsid w:val="00F3413F"/>
    <w:rsid w:val="00F807BD"/>
    <w:rsid w:val="00FE5C41"/>
    <w:rsid w:val="28400C18"/>
    <w:rsid w:val="2EC47833"/>
    <w:rsid w:val="7871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13986</Words>
  <Characters>14285</Characters>
  <Lines>103</Lines>
  <Paragraphs>28</Paragraphs>
  <TotalTime>98</TotalTime>
  <ScaleCrop>false</ScaleCrop>
  <LinksUpToDate>false</LinksUpToDate>
  <CharactersWithSpaces>14439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浮生未歇</cp:lastModifiedBy>
  <cp:lastPrinted>2021-03-15T01:27:00Z</cp:lastPrinted>
  <dcterms:modified xsi:type="dcterms:W3CDTF">2026-03-04T06:42:19Z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180F8377F7D641DA92B0B4F8B5A4AB29_13</vt:lpwstr>
  </property>
  <property fmtid="{D5CDD505-2E9C-101B-9397-08002B2CF9AE}" pid="4" name="KSOTemplateDocerSaveRecord">
    <vt:lpwstr>eyJoZGlkIjoiNGVkM2QwYzNmYTk1ZDUzMzU3MGQ0MjhmN2I5ZmFlZjUiLCJ1c2VySWQiOiI0NTk3MTg0ODEifQ==</vt:lpwstr>
  </property>
</Properties>
</file>