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CC054">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rPr>
        <w:t>附件</w:t>
      </w:r>
    </w:p>
    <w:p w14:paraId="1C66109C">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sz w:val="44"/>
          <w:szCs w:val="44"/>
        </w:rPr>
      </w:pPr>
    </w:p>
    <w:p w14:paraId="1520EFE9">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黑龙江省服务业经营主体贷款贴息政策</w:t>
      </w:r>
    </w:p>
    <w:p w14:paraId="45B8B9DA">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实施细则</w:t>
      </w:r>
    </w:p>
    <w:p w14:paraId="03AEE4DB">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p>
    <w:p w14:paraId="3880D8B7">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第一章  总</w:t>
      </w:r>
      <w:r>
        <w:rPr>
          <w:rFonts w:hint="default" w:ascii="Times New Roman" w:hAnsi="Times New Roman" w:eastAsia="黑体" w:cs="Times New Roman"/>
          <w:kern w:val="0"/>
          <w:sz w:val="32"/>
          <w:szCs w:val="32"/>
          <w:lang w:val="en-US" w:eastAsia="zh-CN"/>
        </w:rPr>
        <w:t xml:space="preserve"> </w:t>
      </w:r>
      <w:r>
        <w:rPr>
          <w:rFonts w:hint="default" w:ascii="Times New Roman" w:hAnsi="Times New Roman" w:eastAsia="黑体" w:cs="Times New Roman"/>
          <w:kern w:val="0"/>
          <w:sz w:val="32"/>
          <w:szCs w:val="32"/>
        </w:rPr>
        <w:t xml:space="preserve"> 则</w:t>
      </w:r>
    </w:p>
    <w:p w14:paraId="02A1A0EF">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0"/>
          <w:sz w:val="32"/>
          <w:szCs w:val="32"/>
        </w:rPr>
        <w:t>第一条</w:t>
      </w:r>
      <w:r>
        <w:rPr>
          <w:rFonts w:hint="default" w:ascii="Times New Roman" w:hAnsi="Times New Roman" w:eastAsia="仿宋_GB2312" w:cs="Times New Roman"/>
          <w:kern w:val="0"/>
          <w:sz w:val="32"/>
          <w:szCs w:val="32"/>
        </w:rPr>
        <w:t xml:space="preserve"> 为贯彻落实党中央和国务院关于大力提振消费、全方位扩大国内需求的决策部署，</w:t>
      </w:r>
      <w:r>
        <w:rPr>
          <w:rFonts w:hint="default" w:ascii="Times New Roman" w:hAnsi="Times New Roman" w:eastAsia="仿宋_GB2312" w:cs="Times New Roman"/>
          <w:sz w:val="32"/>
          <w:szCs w:val="32"/>
        </w:rPr>
        <w:t>按照财政部等9部门印发《服务业经营主体贷款贴息政策实施方案》（财金〔2025〕81号）和财政部等4部门印发《关于优化实施服务业经营主体贷款贴息政策的通知》（财金〔2026〕5号）有关规定，结合我省实际，制定本实施细则。</w:t>
      </w:r>
    </w:p>
    <w:p w14:paraId="211C1F37">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本细则所称经营主体指符合《中华人民共和国市场主体登记管理条例》规定，在我国境内以营利为目的从事经营活动的自然人、法人及非法人组织。民办非企业法人的养老服务机构同等享受贷款贴息政策。</w:t>
      </w:r>
    </w:p>
    <w:p w14:paraId="741686F1">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本细则所称服务业经营主体贷款贴息是指经办机构向符合条件的消费领域服务业经营主体发放贷款，财政部门给予一定比例贴息。</w:t>
      </w:r>
    </w:p>
    <w:p w14:paraId="69889058">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职责分工</w:t>
      </w:r>
      <w:r>
        <w:rPr>
          <w:rFonts w:hint="default" w:ascii="Times New Roman" w:hAnsi="Times New Roman" w:eastAsia="仿宋_GB2312" w:cs="Times New Roman"/>
          <w:sz w:val="32"/>
          <w:szCs w:val="32"/>
          <w:lang w:eastAsia="zh-CN"/>
        </w:rPr>
        <w:t>：</w:t>
      </w:r>
    </w:p>
    <w:p w14:paraId="35F121F2">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省财政厅负责制定服务业经营主体贷款财政贴息政策，筹集应承担的省级贴息资金，动态掌握贷款发放进度和贴息资金需求，做好贴息资金拨付和绩效管理。会同省级行业管理部门、经办机构建立</w:t>
      </w:r>
      <w:bookmarkStart w:id="0" w:name="OLE_LINK26"/>
      <w:r>
        <w:rPr>
          <w:rFonts w:hint="default" w:ascii="Times New Roman" w:hAnsi="Times New Roman" w:eastAsia="仿宋_GB2312" w:cs="Times New Roman"/>
          <w:sz w:val="32"/>
          <w:szCs w:val="32"/>
        </w:rPr>
        <w:t>联审工作机制</w:t>
      </w:r>
      <w:bookmarkEnd w:id="0"/>
      <w:r>
        <w:rPr>
          <w:rFonts w:hint="default" w:ascii="Times New Roman" w:hAnsi="Times New Roman" w:eastAsia="仿宋_GB2312" w:cs="Times New Roman"/>
          <w:sz w:val="32"/>
          <w:szCs w:val="32"/>
        </w:rPr>
        <w:t>。</w:t>
      </w:r>
    </w:p>
    <w:p w14:paraId="76A0C875">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人民银行黑龙江省分行与省财政厅共享相关政策执行情况，强化货币政策和财政政策协同联动。</w:t>
      </w:r>
    </w:p>
    <w:p w14:paraId="2F7D4653">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黑龙江金融监管局负责加强日常监管，督促经办机构审核资金用途和跟踪贷款实际使用情况。</w:t>
      </w:r>
    </w:p>
    <w:p w14:paraId="29E48B8A">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省级行业管理部门负责加强行业监督，严格审核把关，</w:t>
      </w:r>
      <w:bookmarkStart w:id="1" w:name="OLE_LINK29"/>
      <w:bookmarkStart w:id="2" w:name="OLE_LINK30"/>
      <w:r>
        <w:rPr>
          <w:rFonts w:hint="default" w:ascii="Times New Roman" w:hAnsi="Times New Roman" w:eastAsia="仿宋_GB2312" w:cs="Times New Roman"/>
          <w:sz w:val="32"/>
          <w:szCs w:val="32"/>
        </w:rPr>
        <w:t>配合省财政厅建立</w:t>
      </w:r>
      <w:bookmarkStart w:id="3" w:name="OLE_LINK28"/>
      <w:bookmarkStart w:id="4" w:name="OLE_LINK27"/>
      <w:r>
        <w:rPr>
          <w:rFonts w:hint="default" w:ascii="Times New Roman" w:hAnsi="Times New Roman" w:eastAsia="仿宋_GB2312" w:cs="Times New Roman"/>
          <w:sz w:val="32"/>
          <w:szCs w:val="32"/>
        </w:rPr>
        <w:t>联审</w:t>
      </w:r>
      <w:bookmarkEnd w:id="3"/>
      <w:bookmarkEnd w:id="4"/>
      <w:r>
        <w:rPr>
          <w:rFonts w:hint="default" w:ascii="Times New Roman" w:hAnsi="Times New Roman" w:eastAsia="仿宋_GB2312" w:cs="Times New Roman"/>
          <w:sz w:val="32"/>
          <w:szCs w:val="32"/>
        </w:rPr>
        <w:t>机制。</w:t>
      </w:r>
      <w:bookmarkEnd w:id="1"/>
      <w:bookmarkEnd w:id="2"/>
    </w:p>
    <w:p w14:paraId="72AA7404">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省融资信用征信服务平台（以下简称省征信平台）建立与省内各经办机构业务系统对接，汇总全省服务业经营主体贷款贴息业务数据，为省财政厅、省级行业管理部门提供业务审核、数据统计分析等功能。</w:t>
      </w:r>
    </w:p>
    <w:p w14:paraId="3B3D1963">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办机构负责向符合贴息条件的客户发放服务业经营主体贷款，收息时，代财政支付贴息资金，监控贷款资金流向，及时申报贴息资金，配合做好贴息资金测算、结算、清算和绩效评价等工作。配合省财政厅建立联审机制。</w:t>
      </w:r>
    </w:p>
    <w:p w14:paraId="349B35EA">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第四条 </w:t>
      </w:r>
      <w:r>
        <w:rPr>
          <w:rFonts w:hint="default" w:ascii="Times New Roman" w:hAnsi="Times New Roman" w:eastAsia="仿宋_GB2312" w:cs="Times New Roman"/>
          <w:sz w:val="32"/>
          <w:szCs w:val="32"/>
        </w:rPr>
        <w:t>坚持“政府引导、市场运作、风险可控、普惠民生”的原则，确保财政资金高效、规范使用。</w:t>
      </w:r>
    </w:p>
    <w:p w14:paraId="225E9ADD">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贴息范围和标准</w:t>
      </w:r>
    </w:p>
    <w:p w14:paraId="173DE93B">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第五条 </w:t>
      </w:r>
      <w:r>
        <w:rPr>
          <w:rFonts w:hint="default" w:ascii="Times New Roman" w:hAnsi="Times New Roman" w:eastAsia="仿宋_GB2312" w:cs="Times New Roman"/>
          <w:sz w:val="32"/>
          <w:szCs w:val="32"/>
        </w:rPr>
        <w:t>支持范围。同时符合以下条件的贷款可享受贴息政策：</w:t>
      </w:r>
    </w:p>
    <w:p w14:paraId="21870353">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shd w:val="clear" w:color="auto" w:fill="FFFF00"/>
        </w:rPr>
      </w:pPr>
      <w:r>
        <w:rPr>
          <w:rFonts w:hint="default" w:ascii="Times New Roman" w:hAnsi="Times New Roman" w:eastAsia="仿宋_GB2312" w:cs="Times New Roman"/>
          <w:sz w:val="32"/>
          <w:szCs w:val="32"/>
        </w:rPr>
        <w:t>1.2025年3月16日至2025年12月31日期间，由经办机构向餐饮住宿、健康、养老、托育、家政、文化娱乐、旅游、体育等8类消费领域服务业经营主体发放的贷款。2026年1月1日至2026年12月31日期间，由经办机构向餐饮住宿、健康、养老、托育、家政、文化娱乐、旅游、体育、数字、绿色、零售等11类消费领域服务业经营主体发放的贷款。</w:t>
      </w:r>
    </w:p>
    <w:p w14:paraId="1F891451">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2.在2025年3月16日至2026年12月31日期间，经办机构与服务业经营主体签订贷款合同且相关贷款资金发放至服务业经营主体。</w:t>
      </w:r>
    </w:p>
    <w:p w14:paraId="184CA30D">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贷款资金合规用于改善消费基础设施的固定资产贷款和提升服务供给能力的流动资金贷款。其中：餐饮住宿、托育、家政、体育、数字、零售业领域对应《国民经济行业分类》中“住宿和餐饮业”“居民服务、修理和其他服务业”</w:t>
      </w:r>
      <w:r>
        <w:rPr>
          <w:rFonts w:hint="default" w:ascii="Times New Roman" w:hAnsi="Times New Roman" w:eastAsia="仿宋_GB2312" w:cs="Times New Roman"/>
          <w:sz w:val="32"/>
          <w:szCs w:val="32"/>
          <w:lang w:eastAsia="zh-CN"/>
        </w:rPr>
        <w:t>“体育”</w:t>
      </w:r>
      <w:r>
        <w:rPr>
          <w:rFonts w:hint="default" w:ascii="Times New Roman" w:hAnsi="Times New Roman" w:eastAsia="仿宋_GB2312" w:cs="Times New Roman"/>
          <w:sz w:val="32"/>
          <w:szCs w:val="32"/>
        </w:rPr>
        <w:t>“互联网和相关服务”“数字内容服务”“零售业”行业类别；文化娱乐领域对应《文化及相关产业分类（2018）》中除属于制造业细分行业（即四位行业分类代码为数字2、3开头的行业）外的其他行业；旅游、健康领域对应《国家旅游及相关产业统计分类（2018）》和《健康产业统计分类（2019）》中国民经济行业分类代码不带*的行业类别；养老领域服务业经营主体贷款需符合中国人民银行养老产业贷款统计标准；绿色领域对应《中国人民银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金融监管总局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中国证监会关于印发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绿色金融支持项目目录（2025年版）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通知》（银发〔2025〕132号）中符合“建筑节能与绿色建筑”分类标准的“物业管理”行业类别，符合“绿色交通”分类标准的“汽车租赁”“其他道路运输辅助活动”行业类别，以及符合“绿色物流”分类标准的“装卸搬运”“邮政基本服务”“快递服务”“其他寄递服务”行业类别。</w:t>
      </w:r>
    </w:p>
    <w:p w14:paraId="38C6CD19">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shd w:val="clear" w:color="auto" w:fill="FFFF00"/>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xml:space="preserve"> 贴息标准。财政部门对符合条件的服务业经营主体的银行贷款本金年贴息1个百分点，中央财政和省级财政分别承担贴息资金的90%、10%。按照相关贷款资金发放至服务业经营主体之日起予以贴息，贴息期限不超过1年。2025年发放的服务业经营主体贷款，单户享受贴息的贷款规模最高可达100万元。2026年新发放的服务业经营主体的贷款，单户享受贴息的贷款规模最高可达1000万元。</w:t>
      </w:r>
    </w:p>
    <w:p w14:paraId="17B672B9">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rPr>
        <w:t xml:space="preserve"> 同一笔贷款不得重复享受中央财政其他贴息政策；已享受地方财政相关贴息政策的，此项贴息不得超出扣除已有贴息后的实际利率水平。</w:t>
      </w:r>
    </w:p>
    <w:p w14:paraId="707A1E88">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rPr>
        <w:t xml:space="preserve"> 鼓励各类经营主体结合自身资金使用需求，采用随借随还用款模式，灵活支用与偿还贷款资金。对逾期、不良的服务业经营主体贷款，财政部门不予贴息。</w:t>
      </w:r>
    </w:p>
    <w:p w14:paraId="37513B08">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贷款和审核流程</w:t>
      </w:r>
    </w:p>
    <w:p w14:paraId="060A4840">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rPr>
        <w:t xml:space="preserve"> 经办机构。包括国家开发银行、中国进出口银行、中国农业发展银行、中国工商银行股份有限公司、中国农业银行股份有限公司、中国银行股份有限公司、中国建设银行股份有限公司、交通银行股份有限公司、中国邮政储蓄银行股份有限公司、中信银行股份有限公司、中国光大银行股份有限公司、华夏银行股份有限公司、中国民生银行股份有限公司、招商银行股份有限公司、兴业银行股份有限公司、广发银行股份有限公司、平安银行股份有限公司、上海浦东发展银行股份有限公司、恒丰银行股份有限公司、浙商银行股份有限公司、渤海银行股份有限公司等21家全国性银行，2026年新增金融监管评级3A及以上的城市商业银行、省级农村商业银行、省会城市农村商业银行、外资银行。</w:t>
      </w:r>
    </w:p>
    <w:p w14:paraId="5EC5711D">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rPr>
        <w:t xml:space="preserve"> 贷款申请。服务业经营主体可向所在地相关经办机构提出贷款申请，并按要求提供相关证明材料。</w:t>
      </w:r>
    </w:p>
    <w:p w14:paraId="6C26991F">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xml:space="preserve"> 贷款发放。经办机构按照市场化、法治化原则审批贷款申请，自主决策贷款发放条件并及时放款。经办机构与服务业经营主体签订贷款合同，明确贴息享受条件、贷款资金用途、贷后管理要求等内容。</w:t>
      </w:r>
    </w:p>
    <w:p w14:paraId="12936196">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xml:space="preserve"> 建立台账。经办机构省级分行按月统计汇总地市级分支机构向符合条件的服务业经营主体发放贷款情况，建立月度台账，列明经营主体名称及领域、贷款金额及利率、贷款使用用途、是否在合同中明确贴息要求、已支付和拟申请贴息资金等方面情况，将台账数据信息及相关佐证材料同步至省征信平台。省征信平台对校验有误、佐证材料不齐全或审核不通过的贷款，退回至相关经办机构省级分行，由经办机构省级分行修改完善后再提交。经办机构省级分行应于每月5日前完成省征信平台同步工作。</w:t>
      </w:r>
    </w:p>
    <w:p w14:paraId="2DC7802D">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rPr>
        <w:t xml:space="preserve"> 并联并审工作机制。省财政厅、省级行业管理部门、经办机构省级分行建立并联并审工作机制。并联并审工作机制成员由各单位抽调1名专业骨干人员组成。</w:t>
      </w:r>
    </w:p>
    <w:p w14:paraId="5CF582AD">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cs="Times New Roman"/>
        </w:rPr>
      </w:pPr>
      <w:r>
        <w:rPr>
          <w:rFonts w:hint="default" w:ascii="Times New Roman" w:hAnsi="Times New Roman" w:eastAsia="仿宋_GB2312" w:cs="Times New Roman"/>
          <w:sz w:val="32"/>
          <w:szCs w:val="32"/>
        </w:rPr>
        <w:t>省征信平台负责对贷款信息进行汇总、校验和推送；经办机构省级分行负责确认经营主体贷款是否符合贴息条件；省级行业管理部门负责确认经营主体贷款是否符合政策支持领域范围；省财政厅负责确认财政贴息资金是否准确。</w:t>
      </w:r>
    </w:p>
    <w:p w14:paraId="088E8F08">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bookmarkStart w:id="5" w:name="OLE_LINK1"/>
      <w:bookmarkStart w:id="6" w:name="OLE_LINK2"/>
      <w:r>
        <w:rPr>
          <w:rFonts w:hint="default" w:ascii="Times New Roman" w:hAnsi="Times New Roman" w:eastAsia="仿宋_GB2312" w:cs="Times New Roman"/>
          <w:sz w:val="32"/>
          <w:szCs w:val="32"/>
        </w:rPr>
        <w:t>并联并审工作机制</w:t>
      </w:r>
      <w:bookmarkEnd w:id="5"/>
      <w:bookmarkEnd w:id="6"/>
      <w:r>
        <w:rPr>
          <w:rFonts w:hint="default" w:ascii="Times New Roman" w:hAnsi="Times New Roman" w:eastAsia="仿宋_GB2312" w:cs="Times New Roman"/>
          <w:sz w:val="32"/>
          <w:szCs w:val="32"/>
        </w:rPr>
        <w:t>成员单位可查看贷款全部数据信息，应在5个工作日内完成审核并出具审核意见，如提出否定意见需说明原因。对于缺少行业管理部门审核的经营主体贷款，由省征信平台推送至并联并审工作机制小组，集中研讨确定最终意见。并联并审、联合审核结果互享互认。</w:t>
      </w:r>
    </w:p>
    <w:p w14:paraId="52BF273C">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审核不通过的贷款，由省征信平台系统留存相应贷款项目信息以及否定意见说明，退回至经办机构省级分行。对审核通过的贷款，由省征信平台按季汇总并于季度结束后15日内推送至省财政厅和金融监管部门，抄送贷款经办机构省级分行。</w:t>
      </w:r>
    </w:p>
    <w:p w14:paraId="059F6AB9">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贴息流程</w:t>
      </w:r>
    </w:p>
    <w:p w14:paraId="2DEF78A3">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xml:space="preserve"> 贴息申请和结算。经办机构省级分行于每年1月末前报送上年度贴息资金结算和当年贴息资金需求报告。</w:t>
      </w:r>
    </w:p>
    <w:p w14:paraId="579C080D">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省财政厅根据并联并审结果，确认本地区符合条件的贴息资金申请，同时依据经办机构省级分行申请测算</w:t>
      </w:r>
      <w:r>
        <w:rPr>
          <w:rFonts w:hint="default"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年贴息资金需求，于2月28日前向财政部提交</w:t>
      </w:r>
      <w:r>
        <w:rPr>
          <w:rFonts w:hint="default" w:ascii="Times New Roman" w:hAnsi="Times New Roman" w:eastAsia="仿宋_GB2312" w:cs="Times New Roman"/>
          <w:sz w:val="32"/>
          <w:szCs w:val="32"/>
          <w:lang w:eastAsia="zh-CN"/>
        </w:rPr>
        <w:t>上</w:t>
      </w:r>
      <w:r>
        <w:rPr>
          <w:rFonts w:hint="default" w:ascii="Times New Roman" w:hAnsi="Times New Roman" w:eastAsia="仿宋_GB2312" w:cs="Times New Roman"/>
          <w:sz w:val="32"/>
          <w:szCs w:val="32"/>
        </w:rPr>
        <w:t>年度贴息资金结算和</w:t>
      </w:r>
      <w:r>
        <w:rPr>
          <w:rFonts w:hint="default"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年贴息资金需求申请报告，并抄送财政部黑龙江监管局。财政部与省财政厅、省财政厅与经办机构省级分行分别结算贴息资金。省财政厅可视政策实施情况提前或分阶段开展结算工作。</w:t>
      </w:r>
    </w:p>
    <w:p w14:paraId="454663C0">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第十五条 </w:t>
      </w:r>
      <w:r>
        <w:rPr>
          <w:rFonts w:hint="default" w:ascii="Times New Roman" w:hAnsi="Times New Roman" w:eastAsia="仿宋_GB2312" w:cs="Times New Roman"/>
          <w:sz w:val="32"/>
          <w:szCs w:val="32"/>
        </w:rPr>
        <w:t>贴息拨付。省财政厅收到财政部拨付资金后，及时与经办机构省级分行结算</w:t>
      </w:r>
      <w:r>
        <w:rPr>
          <w:rFonts w:hint="default" w:ascii="Times New Roman" w:hAnsi="Times New Roman" w:eastAsia="仿宋_GB2312" w:cs="Times New Roman"/>
          <w:sz w:val="32"/>
          <w:szCs w:val="32"/>
          <w:lang w:eastAsia="zh-CN"/>
        </w:rPr>
        <w:t>上</w:t>
      </w:r>
      <w:r>
        <w:rPr>
          <w:rFonts w:hint="default" w:ascii="Times New Roman" w:hAnsi="Times New Roman" w:eastAsia="仿宋_GB2312" w:cs="Times New Roman"/>
          <w:sz w:val="32"/>
          <w:szCs w:val="32"/>
        </w:rPr>
        <w:t>年度贴息资金，并预拨</w:t>
      </w:r>
      <w:r>
        <w:rPr>
          <w:rFonts w:hint="default"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年全年贴息资金。经办机构在向经营主体收息时，代财政支付贴息资金，并通过手机短信、APP消息等方式告知，增强经营主体体验感和获得感。</w:t>
      </w:r>
    </w:p>
    <w:p w14:paraId="2BDB0CDA">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rPr>
        <w:t xml:space="preserve"> 贴息清算。经办机构省级分行应根据实际使用贴息资金情况，于2028年1月31日前向省财政厅提出贴息资金清算申请，原则上省财政厅自收到清算申请1个月内，出具贴息资金清算审核报告并报送财政部，财政部与省财政厅、省财政厅与经办机构省级分行分别清算贴息资金。资金清算时间视政策实施期限延长情况相应调整。</w:t>
      </w:r>
    </w:p>
    <w:p w14:paraId="26F05D3D">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rPr>
        <w:t xml:space="preserve"> 信息报送。经办机构省级分行建立报表统计制度，于每月结束后5个工作日内向省财政厅报送政策执行情况，包括但不限于贷款发放和贴息使用情况，抄送中国人民银行黑龙江省分行、黑龙江金融监管局。省财政厅于每月结束后10个工作日内将辖内政策实施情况报送财政部。</w:t>
      </w:r>
    </w:p>
    <w:p w14:paraId="20E6184F">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绩效管理</w:t>
      </w:r>
    </w:p>
    <w:p w14:paraId="6CB3898D">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rPr>
        <w:t xml:space="preserve"> 省财政厅负责全过程绩效管理，组织开展专项资金绩效目标管理、绩效运行监控、绩效评价等绩效管理工作。经办机构负责对照绩效目标做好绩效评价工作，确保绩效目标如期实现。</w:t>
      </w:r>
    </w:p>
    <w:p w14:paraId="12F1088B">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 xml:space="preserve"> 加强事前绩效目标管理。根据政策目标和行业领域发展导向，组织设定可量化、可衡量、可定性并且符合行业特点以及具备产出效果的绩效目标，作为纳入预算的前置要件。</w:t>
      </w:r>
    </w:p>
    <w:p w14:paraId="7889C5E3">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第二十条</w:t>
      </w:r>
      <w:r>
        <w:rPr>
          <w:rFonts w:hint="default" w:ascii="Times New Roman" w:hAnsi="Times New Roman" w:eastAsia="仿宋_GB2312" w:cs="Times New Roman"/>
          <w:sz w:val="32"/>
          <w:szCs w:val="32"/>
        </w:rPr>
        <w:t xml:space="preserve"> 加强事中绩效运行监控。在政策实施过程中，组织开展绩效目标实现程度和预算执行进度“双监控”，对监控中发现政策导向偏离绩效目标及管理漏洞及时纠正偏差。</w:t>
      </w:r>
    </w:p>
    <w:p w14:paraId="702F3D6E">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第二十一条</w:t>
      </w:r>
      <w:r>
        <w:rPr>
          <w:rFonts w:hint="default" w:ascii="Times New Roman" w:hAnsi="Times New Roman" w:eastAsia="仿宋_GB2312" w:cs="Times New Roman"/>
          <w:sz w:val="32"/>
          <w:szCs w:val="32"/>
        </w:rPr>
        <w:t xml:space="preserve"> 加强事后绩效评价。对照绩效目标做好事后绩效评价工作，注重投入产出效益，对政策实施效果和资金使用情况开展“双评价”，提升绩效评价质量和实效。健全评价指标体系，加强绩效评价结果应用，将评价结果作为政策调整、预算安排和资金分配的重要依据。</w:t>
      </w:r>
    </w:p>
    <w:p w14:paraId="601F62DE">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监督管理</w:t>
      </w:r>
    </w:p>
    <w:p w14:paraId="03AE28C8">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第二十二条</w:t>
      </w:r>
      <w:r>
        <w:rPr>
          <w:rFonts w:hint="default" w:ascii="Times New Roman" w:hAnsi="Times New Roman" w:eastAsia="仿宋_GB2312" w:cs="Times New Roman"/>
          <w:kern w:val="0"/>
          <w:sz w:val="32"/>
          <w:szCs w:val="32"/>
        </w:rPr>
        <w:t xml:space="preserve"> 省财政厅、人民银行黑龙江省分行、黑龙江金融监管局、省级行业管理部门要切实做好贴息政策组织实施工作，依照法定职责履行监督责任。省财政厅负责统筹做好政策资金保障和分解下达，督促组织做好政策执行情况的财会监督，对发现的问题及时纠偏。黑龙江金融监管局加强日常监管，督促经办机构审核资金用途和跟踪贷款实际使用情况，确保贷款资金合规和有效使用。</w:t>
      </w:r>
      <w:r>
        <w:rPr>
          <w:rFonts w:hint="default" w:ascii="Times New Roman" w:hAnsi="Times New Roman" w:eastAsia="仿宋_GB2312" w:cs="Times New Roman"/>
          <w:sz w:val="32"/>
          <w:szCs w:val="32"/>
        </w:rPr>
        <w:t>各省级行业管理部门加强行业监督，严格审核把关</w:t>
      </w:r>
      <w:r>
        <w:rPr>
          <w:rFonts w:hint="default" w:ascii="Times New Roman" w:hAnsi="Times New Roman" w:eastAsia="仿宋_GB2312" w:cs="Times New Roman"/>
          <w:kern w:val="0"/>
          <w:sz w:val="32"/>
          <w:szCs w:val="32"/>
        </w:rPr>
        <w:t>。</w:t>
      </w:r>
    </w:p>
    <w:p w14:paraId="449D8D0F">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第二十三条</w:t>
      </w:r>
      <w:r>
        <w:rPr>
          <w:rFonts w:hint="default" w:ascii="Times New Roman" w:hAnsi="Times New Roman" w:eastAsia="仿宋_GB2312" w:cs="Times New Roman"/>
          <w:sz w:val="32"/>
          <w:szCs w:val="32"/>
        </w:rPr>
        <w:t xml:space="preserve"> 省征信平台要实施全程操作留痕，做到相关操作记录可查询、可追溯，确保审核过程的客观性和规范性，按照国家及本省有关数据安全的法律法规和技术规范，建立健全安全管理制度，保障数据在传输、存储、处理过程中的安全性、保密性和完整性，防止数据泄露、损毁或篡改。</w:t>
      </w:r>
    </w:p>
    <w:p w14:paraId="23D54D10">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第二十四条</w:t>
      </w:r>
      <w:r>
        <w:rPr>
          <w:rFonts w:hint="default" w:ascii="Times New Roman" w:hAnsi="Times New Roman" w:eastAsia="仿宋_GB2312" w:cs="Times New Roman"/>
          <w:sz w:val="32"/>
          <w:szCs w:val="32"/>
        </w:rPr>
        <w:t xml:space="preserve"> 经办机构承担审贷主体责任，严格履行审贷职责。合理匹配优惠信贷额度，从严审批、从快放款，并强化贷后管理。做好贷款资金流向监控，严禁用于投资理财等套利活动，并通过数据标签做好分类统计，避免贷款重复享受中央财政贴息。经办机构省级分行要加强对分支机构的督导，定期对分支机构贷款使用、贴息资金测算和申请等情况进行检查。要严格按照联审结果申领贴息资金，确保贴息资金合规用于向符合贴息条件的服务业经营主体兑付，严禁经办机构和服务业经营主体套取贴息资金。</w:t>
      </w:r>
    </w:p>
    <w:p w14:paraId="648E6C79">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第二十五条</w:t>
      </w:r>
      <w:r>
        <w:rPr>
          <w:rFonts w:hint="default" w:ascii="Times New Roman" w:hAnsi="Times New Roman" w:eastAsia="仿宋_GB2312" w:cs="Times New Roman"/>
          <w:sz w:val="32"/>
          <w:szCs w:val="32"/>
        </w:rPr>
        <w:t xml:space="preserve"> 服务业经营主体要确保将贷款资金用于开展合规经营活动，提升服务供给能力、改善消费基础设施，严禁虚报、冒领、套取、截留、挤占、挪用贷款资金，严禁将贷款资金用于房地产开发或投资、理财等套利活动。</w:t>
      </w:r>
    </w:p>
    <w:p w14:paraId="75E2E71B">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第二十六条</w:t>
      </w:r>
      <w:r>
        <w:rPr>
          <w:rFonts w:hint="default" w:ascii="Times New Roman" w:hAnsi="Times New Roman" w:eastAsia="仿宋_GB2312" w:cs="Times New Roman"/>
          <w:sz w:val="32"/>
          <w:szCs w:val="32"/>
        </w:rPr>
        <w:t xml:space="preserve"> 有关方面发现贷款资金使用、贴息资金申领等违反政策规定的，要及时追回相关信贷资金和财政贴息资金，并依法依规对服务业经营主体和经办机构进行处罚。相关服务业经营主体、经办机构要自觉接受有关部门的监督检查。工作人员存在违反本细则要求以及其他滥用职权、玩忽职守、徇私舞弊等违法违规行为的，依法依规追究相应责任；涉嫌犯罪的，依法移交有关机关处理。</w:t>
      </w:r>
    </w:p>
    <w:p w14:paraId="6D7734B6">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center"/>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第七章  附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14:paraId="507E0B52">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第二十七条</w:t>
      </w:r>
      <w:r>
        <w:rPr>
          <w:rFonts w:hint="default" w:ascii="Times New Roman" w:hAnsi="Times New Roman" w:eastAsia="仿宋_GB2312" w:cs="Times New Roman"/>
          <w:sz w:val="32"/>
          <w:szCs w:val="32"/>
        </w:rPr>
        <w:t xml:space="preserve"> 本细则由省财政厅、人民银行黑龙江省分行、黑龙江金融监管局、各省级行业管理部门根据职责分工</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解释。</w:t>
      </w:r>
    </w:p>
    <w:p w14:paraId="7A93215C">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cs="Times New Roman"/>
          <w:lang w:val="en-US" w:eastAsia="zh-CN"/>
        </w:rPr>
      </w:pPr>
      <w:r>
        <w:rPr>
          <w:rFonts w:hint="default" w:ascii="Times New Roman" w:hAnsi="Times New Roman" w:eastAsia="仿宋_GB2312" w:cs="Times New Roman"/>
          <w:b/>
          <w:bCs/>
          <w:sz w:val="32"/>
          <w:szCs w:val="32"/>
        </w:rPr>
        <w:t>第二十八条</w:t>
      </w:r>
      <w:r>
        <w:rPr>
          <w:rFonts w:hint="default" w:ascii="Times New Roman" w:hAnsi="Times New Roman" w:eastAsia="仿宋_GB2312" w:cs="Times New Roman"/>
          <w:sz w:val="32"/>
          <w:szCs w:val="32"/>
        </w:rPr>
        <w:t xml:space="preserve"> 本细则自2026年1月1日起施行。</w:t>
      </w:r>
      <w:r>
        <w:rPr>
          <w:rFonts w:hint="default" w:ascii="Times New Roman" w:hAnsi="Times New Roman" w:eastAsia="仿宋_GB2312" w:cs="Times New Roman"/>
          <w:sz w:val="32"/>
          <w:szCs w:val="32"/>
          <w:shd w:val="clear" w:color="auto" w:fill="auto"/>
          <w:lang w:eastAsia="zh-CN"/>
        </w:rPr>
        <w:t>《黑龙江省财政厅等九部门关于印发</w:t>
      </w:r>
      <w:r>
        <w:rPr>
          <w:rFonts w:hint="default" w:ascii="Times New Roman" w:hAnsi="Times New Roman" w:eastAsia="仿宋_GB2312" w:cs="Times New Roman"/>
          <w:sz w:val="32"/>
          <w:szCs w:val="32"/>
          <w:shd w:val="clear" w:color="auto" w:fill="auto"/>
          <w:lang w:val="en-US" w:eastAsia="zh-CN"/>
        </w:rPr>
        <w:t>〈黑龙江省服务业经营主体贷款贴息政策实施细则〉的通知</w:t>
      </w:r>
      <w:r>
        <w:rPr>
          <w:rFonts w:hint="default" w:ascii="Times New Roman" w:hAnsi="Times New Roman" w:eastAsia="仿宋_GB2312" w:cs="Times New Roman"/>
          <w:sz w:val="32"/>
          <w:szCs w:val="32"/>
          <w:shd w:val="clear" w:color="auto" w:fill="auto"/>
          <w:lang w:eastAsia="zh-CN"/>
        </w:rPr>
        <w:t>》（</w:t>
      </w:r>
      <w:r>
        <w:rPr>
          <w:rFonts w:hint="default" w:ascii="Times New Roman" w:hAnsi="Times New Roman" w:eastAsia="仿宋_GB2312" w:cs="Times New Roman"/>
          <w:sz w:val="32"/>
          <w:szCs w:val="32"/>
          <w:shd w:val="clear" w:color="auto" w:fill="auto"/>
        </w:rPr>
        <w:t>黑财规〔2025〕25号</w:t>
      </w:r>
      <w:r>
        <w:rPr>
          <w:rFonts w:hint="default" w:ascii="Times New Roman" w:hAnsi="Times New Roman" w:eastAsia="仿宋_GB2312" w:cs="Times New Roman"/>
          <w:sz w:val="32"/>
          <w:szCs w:val="32"/>
          <w:shd w:val="clear" w:color="auto" w:fill="auto"/>
          <w:lang w:eastAsia="zh-CN"/>
        </w:rPr>
        <w:t>）同时废止。</w:t>
      </w:r>
      <w:r>
        <w:rPr>
          <w:rFonts w:hint="default" w:ascii="Times New Roman" w:hAnsi="Times New Roman" w:eastAsia="仿宋_GB2312" w:cs="Times New Roman"/>
          <w:sz w:val="32"/>
          <w:szCs w:val="32"/>
          <w:shd w:val="clear" w:color="auto" w:fill="auto"/>
        </w:rPr>
        <w:t>国家另有规定的，从其规定。</w:t>
      </w:r>
      <w:bookmarkStart w:id="7" w:name="_GoBack"/>
      <w:bookmarkEnd w:id="7"/>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BCBE64-47CE-42CA-BEC1-58319E8253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2C10301-AF95-4B31-9C2D-CA18C68650D9}"/>
  </w:font>
  <w:font w:name="仿宋_GB2312">
    <w:panose1 w:val="02010609030101010101"/>
    <w:charset w:val="86"/>
    <w:family w:val="auto"/>
    <w:pitch w:val="default"/>
    <w:sig w:usb0="00000001" w:usb1="080E0000" w:usb2="00000000" w:usb3="00000000" w:csb0="00040000" w:csb1="00000000"/>
    <w:embedRegular r:id="rId3" w:fontKey="{B8BE0E43-C191-46AE-B644-64A0BCF71726}"/>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4" w:fontKey="{F3F85152-471F-4EC9-A9E5-F735DD463D59}"/>
  </w:font>
  <w:font w:name="WPSEMBED1">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B91C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3F9240">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D3F9240">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E6BA4"/>
    <w:rsid w:val="08032104"/>
    <w:rsid w:val="08597A73"/>
    <w:rsid w:val="0A4422E6"/>
    <w:rsid w:val="0E184392"/>
    <w:rsid w:val="15CE4B68"/>
    <w:rsid w:val="22DB58FD"/>
    <w:rsid w:val="24975A86"/>
    <w:rsid w:val="3B056063"/>
    <w:rsid w:val="3D116355"/>
    <w:rsid w:val="475632A7"/>
    <w:rsid w:val="5A494D49"/>
    <w:rsid w:val="607B41D8"/>
    <w:rsid w:val="6B6E044D"/>
    <w:rsid w:val="6BAB02B2"/>
    <w:rsid w:val="7D4E6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560" w:lineRule="exact"/>
      <w:ind w:firstLine="0" w:firstLineChars="0"/>
      <w:jc w:val="both"/>
      <w:textAlignment w:val="baseline"/>
    </w:pPr>
    <w:rPr>
      <w:rFonts w:ascii="Times New Roman" w:hAnsi="Times New Roman" w:eastAsia="仿宋_GB2312" w:cs="Arial"/>
      <w:snapToGrid w:val="0"/>
      <w:color w:val="000000"/>
      <w:kern w:val="0"/>
      <w:sz w:val="32"/>
      <w:szCs w:val="21"/>
      <w:lang w:val="en-US" w:eastAsia="en-US" w:bidi="ar-SA"/>
    </w:rPr>
  </w:style>
  <w:style w:type="paragraph" w:styleId="3">
    <w:name w:val="heading 2"/>
    <w:basedOn w:val="1"/>
    <w:next w:val="1"/>
    <w:link w:val="10"/>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4">
    <w:name w:val="heading 3"/>
    <w:basedOn w:val="1"/>
    <w:next w:val="1"/>
    <w:link w:val="9"/>
    <w:semiHidden/>
    <w:unhideWhenUsed/>
    <w:qFormat/>
    <w:uiPriority w:val="0"/>
    <w:pPr>
      <w:ind w:left="0" w:right="0" w:firstLine="920"/>
      <w:jc w:val="both"/>
      <w:outlineLvl w:val="2"/>
    </w:pPr>
    <w:rPr>
      <w:rFonts w:ascii="楷体_GB2312" w:hAnsi="楷体_GB2312" w:eastAsia="楷体_GB2312" w:cs="楷体_GB2312"/>
      <w:b/>
      <w:bCs/>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link w:val="11"/>
    <w:qFormat/>
    <w:uiPriority w:val="0"/>
    <w:rPr>
      <w:rFonts w:ascii="Arial" w:hAnsi="Arial" w:eastAsia="仿宋_GB2312"/>
      <w:sz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3 Char"/>
    <w:link w:val="4"/>
    <w:qFormat/>
    <w:uiPriority w:val="0"/>
    <w:rPr>
      <w:rFonts w:ascii="楷体_GB2312" w:hAnsi="楷体_GB2312" w:eastAsia="楷体_GB2312" w:cs="楷体_GB2312"/>
      <w:b/>
      <w:bCs/>
      <w:snapToGrid w:val="0"/>
      <w:color w:val="000000"/>
      <w:kern w:val="0"/>
      <w:sz w:val="32"/>
      <w:szCs w:val="21"/>
      <w:lang w:val="en-US" w:eastAsia="en-US" w:bidi="ar-SA"/>
    </w:rPr>
  </w:style>
  <w:style w:type="character" w:customStyle="1" w:styleId="10">
    <w:name w:val="标题 2 Char"/>
    <w:link w:val="3"/>
    <w:qFormat/>
    <w:uiPriority w:val="0"/>
    <w:rPr>
      <w:rFonts w:ascii="Arial" w:hAnsi="Arial" w:eastAsia="黑体"/>
    </w:rPr>
  </w:style>
  <w:style w:type="character" w:customStyle="1" w:styleId="11">
    <w:name w:val="正文文本 Char"/>
    <w:link w:val="2"/>
    <w:qFormat/>
    <w:uiPriority w:val="0"/>
    <w:rPr>
      <w:rFonts w:ascii="Arial" w:hAnsi="Arial" w:eastAsia="仿宋_GB2312" w:cs="Arial"/>
      <w:sz w:val="32"/>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7230</Words>
  <Characters>7339</Characters>
  <Lines>0</Lines>
  <Paragraphs>0</Paragraphs>
  <TotalTime>9</TotalTime>
  <ScaleCrop>false</ScaleCrop>
  <LinksUpToDate>false</LinksUpToDate>
  <CharactersWithSpaces>7385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2026-03-04T01:31:00Z</dcterms:created>
  <dc:creator>晴昼海</dc:creator>
  <cp:lastModifiedBy>浮生未歇</cp:lastModifiedBy>
  <dcterms:modified xsi:type="dcterms:W3CDTF">2026-03-04T06:36:04Z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CB331CFEEE8B4565A99610806D67D163_13</vt:lpwstr>
  </property>
  <property fmtid="{D5CDD505-2E9C-101B-9397-08002B2CF9AE}" pid="4" name="KSOTemplateDocerSaveRecord">
    <vt:lpwstr>eyJoZGlkIjoiNGVkM2QwYzNmYTk1ZDUzMzU3MGQ0MjhmN2I5ZmFlZjUiLCJ1c2VySWQiOiI0NTk3MTg0ODEifQ==</vt:lpwstr>
  </property>
</Properties>
</file>