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绥化市人民政府办公室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关于印发绥化市（市本级）2026年度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国有建设用地供应计划的通知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北林区人民政府，绥化经济技术开发区管委会，市政府各有关直属单位：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经市政府同意，现将《绥化市（市本级） 2026年度国有建设用地供应计划》印发给你们，请认真贯彻执行。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4480" w:firstLineChars="14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绥化市人民政府办公室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4800" w:firstLineChars="1500"/>
        <w:jc w:val="left"/>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2026年3月30日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绥化市（市本级）2026年度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国有建设用地供应计划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left"/>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为有效实施土地利用总体规划和土地利用年度计划，科学安排国有建设用地供应，根据《国有建设用地供应计划编制规范（试行）》《土地利用年度计划管理办法》等有关规定，结合我市实际，特制定本计划。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b w:val="0"/>
          <w:bCs w:val="0"/>
          <w:sz w:val="32"/>
          <w:szCs w:val="32"/>
        </w:rPr>
      </w:pPr>
      <w:r>
        <w:rPr>
          <w:rFonts w:hint="eastAsia" w:ascii="黑体" w:hAnsi="宋体" w:eastAsia="黑体" w:cs="黑体"/>
          <w:b w:val="0"/>
          <w:bCs w:val="0"/>
          <w:color w:val="000000"/>
          <w:kern w:val="0"/>
          <w:sz w:val="32"/>
          <w:szCs w:val="32"/>
          <w:lang w:val="en-US" w:eastAsia="zh-CN" w:bidi="ar"/>
        </w:rPr>
        <w:t>一、</w:t>
      </w:r>
      <w:r>
        <w:rPr>
          <w:rFonts w:ascii="黑体" w:hAnsi="宋体" w:eastAsia="黑体" w:cs="黑体"/>
          <w:b w:val="0"/>
          <w:bCs w:val="0"/>
          <w:color w:val="000000"/>
          <w:kern w:val="0"/>
          <w:sz w:val="32"/>
          <w:szCs w:val="32"/>
          <w:lang w:val="en-US" w:eastAsia="zh-CN" w:bidi="ar"/>
        </w:rPr>
        <w:t>计划编制目的、编制依据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color w:val="000000"/>
          <w:kern w:val="0"/>
          <w:sz w:val="32"/>
          <w:szCs w:val="32"/>
          <w:lang w:val="en-US" w:eastAsia="zh-CN" w:bidi="ar"/>
        </w:rPr>
        <w:t>（一）计划编制目的。</w:t>
      </w:r>
      <w:r>
        <w:rPr>
          <w:rFonts w:hint="eastAsia" w:ascii="仿宋_GB2312" w:hAnsi="仿宋_GB2312" w:eastAsia="仿宋_GB2312" w:cs="仿宋_GB2312"/>
          <w:b w:val="0"/>
          <w:bCs w:val="0"/>
          <w:color w:val="000000"/>
          <w:kern w:val="0"/>
          <w:sz w:val="32"/>
          <w:szCs w:val="32"/>
          <w:lang w:val="en-US" w:eastAsia="zh-CN" w:bidi="ar"/>
        </w:rPr>
        <w:t>为有效控制土地供应总量，合理安排土地供应结构，促进土地节约集约利用，加强土地市场调控作用，引导各类建设用地项目投资，优化产业布局，保障我市城市居民住房建设和重点服务业项目、重大工业项目用地需求，促进我市经济和社会平稳可持续发展，确保我市2026年度土地供应工作有序有效开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color w:val="000000"/>
          <w:kern w:val="0"/>
          <w:sz w:val="32"/>
          <w:szCs w:val="32"/>
          <w:lang w:val="en-US" w:eastAsia="zh-CN" w:bidi="ar"/>
        </w:rPr>
        <w:t>（二）计划编制依据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1.国务院及有关部门颁布的法律法规。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（1）《中华人民共和国土地管理法》（2019年8月26日修正）；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（2）《中华人民共和国土地管理法实施条例》（2021年9月1日起施行）；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（3）《中华人民共和国城市房地产管理法》（2019年8月26日修正）；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（4）《国务院关于促进节约集约用地的通知》（国发〔2008〕3号）；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（5）《国务院关于加强土地调控有关问题的通知》（国发〔2006〕31号）；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（6）《国务院批转发展改革委等部门关于抑制部分行业产能过剩和重复建设引导产业健康发展若干意见的通知》（国发〔2009〕38号）；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（7）《招标拍卖挂牌出让国有建设用地使用权规定》（国土资源部令第39号，2007年9月21日）；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（8）《土地利用年度计划管理办法》（中华人民共和国国土资源部令第66号，2016年5月12日）；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（9）《划拨用地目录》（国土资源部令第9号，2001年10月22日）；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（10）《土地储备管理办法》（自然资规〔2025〕2号）；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（11）《国土资源部  国家监察委员会关于进一步落实工业用地出让制度的通知》（国土资发〔2009〕101号）；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（12）《住建部、国家发展改革委、财政部、国土资源部、农业农村部、国家林业和草原局关于做好住房保障规划编制的通知》（建保〔2010〕91号）；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（13）《关于大力推进节约集约用地制度建设的意见》（国土资发〔2012〕47号）；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（14）《国土资源部关于推进土地节约集约利用的指导意见》（国土资发〔2014〕119号）。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2.地方政府及有关部门颁布的法律法规、通知文件。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（1）《黑龙江省土地管理条例》（2022年12月22日黑龙江省第十三届人民代表大会常务委员会第三十九次会议通过）；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（2）《黑龙江省人民政府关于加强节约集约用地工作的意见》（黑政规〔2018〕11 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3.有关技术标准。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（1）中华人民共和国国家标准《国土空间调查、规划、用途管制用地用海分类指南》（自然资发〔2023〕234号）；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32"/>
          <w:szCs w:val="32"/>
          <w:lang w:val="en-US" w:eastAsia="zh-CN" w:bidi="ar"/>
        </w:rPr>
        <w:t>（2）中华人民共和国国土资源部《国有建设用地供应计划编制规范（试行）》（国土资发〔2010〕117 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color w:val="000000"/>
          <w:kern w:val="0"/>
          <w:sz w:val="32"/>
          <w:szCs w:val="32"/>
          <w:lang w:val="en-US" w:eastAsia="zh-CN" w:bidi="ar"/>
        </w:rPr>
        <w:t>（三）计划适用范围。</w:t>
      </w:r>
      <w:r>
        <w:rPr>
          <w:rFonts w:hint="eastAsia" w:ascii="仿宋_GB2312" w:hAnsi="仿宋_GB2312" w:eastAsia="仿宋_GB2312" w:cs="仿宋_GB2312"/>
          <w:b w:val="0"/>
          <w:bCs w:val="0"/>
          <w:color w:val="000000"/>
          <w:kern w:val="0"/>
          <w:sz w:val="32"/>
          <w:szCs w:val="32"/>
          <w:lang w:val="en-US" w:eastAsia="zh-CN" w:bidi="ar"/>
        </w:rPr>
        <w:t>绥化市（市本级）北林区范围内计划期供应的全部国有建设用地。国有建设用地供应计划计划期为一年，年度为2026年度。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sz w:val="32"/>
          <w:szCs w:val="32"/>
        </w:rPr>
      </w:pPr>
      <w:r>
        <w:rPr>
          <w:rFonts w:ascii="黑体" w:hAnsi="宋体" w:eastAsia="黑体" w:cs="黑体"/>
          <w:b w:val="0"/>
          <w:bCs w:val="0"/>
          <w:color w:val="000000"/>
          <w:kern w:val="0"/>
          <w:sz w:val="32"/>
          <w:szCs w:val="32"/>
          <w:lang w:val="en-US" w:eastAsia="zh-CN" w:bidi="ar"/>
        </w:rPr>
        <w:t>二、基本原则</w:t>
      </w:r>
      <w:r>
        <w:rPr>
          <w:rFonts w:hint="eastAsia" w:ascii="黑体" w:hAnsi="黑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b w:val="0"/>
          <w:bCs w:val="0"/>
        </w:rPr>
      </w:pPr>
      <w:r>
        <w:rPr>
          <w:rFonts w:hint="eastAsia" w:ascii="方正楷体_GBK" w:hAnsi="方正楷体_GBK" w:eastAsia="方正楷体_GBK" w:cs="方正楷体_GBK"/>
          <w:b w:val="0"/>
          <w:bCs w:val="0"/>
          <w:color w:val="000000"/>
          <w:kern w:val="0"/>
          <w:sz w:val="32"/>
          <w:szCs w:val="32"/>
          <w:lang w:val="en-US" w:eastAsia="zh-CN" w:bidi="ar"/>
        </w:rPr>
        <w:t>（一）城乡协同原则。</w:t>
      </w:r>
      <w:r>
        <w:rPr>
          <w:rFonts w:hint="eastAsia" w:ascii="仿宋_GB2312" w:hAnsi="仿宋_GB2312" w:eastAsia="仿宋_GB2312" w:cs="仿宋_GB2312"/>
          <w:b w:val="0"/>
          <w:bCs w:val="0"/>
          <w:color w:val="000000"/>
          <w:kern w:val="0"/>
          <w:sz w:val="32"/>
          <w:szCs w:val="32"/>
          <w:lang w:val="en-US" w:eastAsia="zh-CN" w:bidi="ar"/>
        </w:rPr>
        <w:t>统筹城乡建设用地利用，实现城乡联动、互动共进、协调发展；正确处理和合理把握中心城镇和中心村建设之间的关系，积极推动城镇空间结构调整，落实城镇功能定位，优化土地供应空间布局，扎实推进重点城镇建设和新农村建设工作。</w:t>
      </w:r>
      <w:r>
        <w:rPr>
          <w:rFonts w:hint="eastAsia" w:ascii="宋体" w:hAnsi="宋体" w:eastAsia="宋体" w:cs="宋体"/>
          <w:b w:val="0"/>
          <w:bCs w:val="0"/>
          <w:color w:val="000000"/>
          <w:kern w:val="0"/>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b w:val="0"/>
          <w:bCs w:val="0"/>
        </w:rPr>
      </w:pPr>
      <w:r>
        <w:rPr>
          <w:rFonts w:hint="eastAsia" w:ascii="方正楷体_GBK" w:hAnsi="方正楷体_GBK" w:eastAsia="方正楷体_GBK" w:cs="方正楷体_GBK"/>
          <w:b w:val="0"/>
          <w:bCs w:val="0"/>
          <w:color w:val="000000"/>
          <w:kern w:val="0"/>
          <w:sz w:val="32"/>
          <w:szCs w:val="32"/>
          <w:lang w:val="en-US" w:eastAsia="zh-CN" w:bidi="ar"/>
        </w:rPr>
        <w:t>（二）节约集约用地原则。</w:t>
      </w:r>
      <w:r>
        <w:rPr>
          <w:rFonts w:hint="eastAsia" w:ascii="仿宋_GB2312" w:hAnsi="仿宋_GB2312" w:eastAsia="仿宋_GB2312" w:cs="仿宋_GB2312"/>
          <w:b w:val="0"/>
          <w:bCs w:val="0"/>
          <w:color w:val="000000"/>
          <w:kern w:val="0"/>
          <w:sz w:val="32"/>
          <w:szCs w:val="32"/>
          <w:lang w:val="en-US" w:eastAsia="zh-CN" w:bidi="ar"/>
        </w:rPr>
        <w:t>节约集约用地主要包括三层含义，一是节约用地，各项建设都要尽量节省用地，千方百计地不占或少占耕地；二是集约用地，每宗建设用地必须提高投入产出的强度，提高土地利用的集约化程度；三是通过整合、置换和储备，合理安排土地投放的数量和节奏，改善建设用地结构、布局，挖掘用地潜力，提高土地配置和利用效率。</w:t>
      </w:r>
      <w:r>
        <w:rPr>
          <w:rFonts w:hint="eastAsia" w:ascii="宋体" w:hAnsi="宋体" w:eastAsia="宋体" w:cs="宋体"/>
          <w:b w:val="0"/>
          <w:bCs w:val="0"/>
          <w:color w:val="000000"/>
          <w:kern w:val="0"/>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b w:val="0"/>
          <w:bCs w:val="0"/>
          <w:sz w:val="32"/>
          <w:szCs w:val="32"/>
        </w:rPr>
      </w:pPr>
      <w:r>
        <w:rPr>
          <w:rFonts w:hint="eastAsia" w:ascii="方正楷体_GBK" w:hAnsi="方正楷体_GBK" w:eastAsia="方正楷体_GBK" w:cs="方正楷体_GBK"/>
          <w:b w:val="0"/>
          <w:bCs w:val="0"/>
          <w:color w:val="000000"/>
          <w:kern w:val="0"/>
          <w:sz w:val="32"/>
          <w:szCs w:val="32"/>
          <w:lang w:val="en-US" w:eastAsia="zh-CN" w:bidi="ar"/>
        </w:rPr>
        <w:t>（三）供需平衡原则。</w:t>
      </w:r>
      <w:r>
        <w:rPr>
          <w:rFonts w:hint="eastAsia" w:ascii="仿宋_GB2312" w:hAnsi="仿宋_GB2312" w:eastAsia="仿宋_GB2312" w:cs="仿宋_GB2312"/>
          <w:b w:val="0"/>
          <w:bCs w:val="0"/>
          <w:color w:val="000000"/>
          <w:kern w:val="0"/>
          <w:sz w:val="32"/>
          <w:szCs w:val="32"/>
          <w:lang w:val="en-US" w:eastAsia="zh-CN" w:bidi="ar"/>
        </w:rPr>
        <w:t xml:space="preserve">城市建设用地的供给量由城市土地储备量、城市建设用地供需差、城市总体节约度共同决定。建设用地供给量在土地储备足够的情况下是由建设用地供需差决定的，并与城市总体集约度呈现抛物线关系。为促进土地市场供需基本平衡，应以土地供应引导需求，合理调整土地供应结构和用地供应量。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b w:val="0"/>
          <w:bCs w:val="0"/>
        </w:rPr>
      </w:pPr>
      <w:r>
        <w:rPr>
          <w:rFonts w:hint="eastAsia" w:ascii="方正楷体_GBK" w:hAnsi="方正楷体_GBK" w:eastAsia="方正楷体_GBK" w:cs="方正楷体_GBK"/>
          <w:b w:val="0"/>
          <w:bCs w:val="0"/>
          <w:color w:val="000000"/>
          <w:kern w:val="0"/>
          <w:sz w:val="32"/>
          <w:szCs w:val="32"/>
          <w:lang w:val="en-US" w:eastAsia="zh-CN" w:bidi="ar"/>
        </w:rPr>
        <w:t>（四）有保有压原则。</w:t>
      </w:r>
      <w:r>
        <w:rPr>
          <w:rFonts w:hint="eastAsia" w:ascii="仿宋_GB2312" w:hAnsi="仿宋_GB2312" w:eastAsia="仿宋_GB2312" w:cs="仿宋_GB2312"/>
          <w:b w:val="0"/>
          <w:bCs w:val="0"/>
          <w:color w:val="000000"/>
          <w:kern w:val="0"/>
          <w:sz w:val="32"/>
          <w:szCs w:val="32"/>
          <w:lang w:val="en-US" w:eastAsia="zh-CN" w:bidi="ar"/>
        </w:rPr>
        <w:t>优先保障国家重点建设项目和基础设施建设项目的用地需要，合理确定城镇村建设新增用地。落实国家产业政策，优先保障国家重点建设项目用地需求，支持有利于结构调整的项目建设用地。对不符合国家产业政策、发展规划和市场准入标准的项目，不予供地。继续加大城镇化建设力度，增加中小套型商品房的土地供应，严格控制大户型、低密度高档住宅用地供应，停止别墅类用地供应。</w:t>
      </w:r>
      <w:r>
        <w:rPr>
          <w:rFonts w:hint="eastAsia" w:ascii="宋体" w:hAnsi="宋体" w:eastAsia="宋体" w:cs="宋体"/>
          <w:b w:val="0"/>
          <w:bCs w:val="0"/>
          <w:color w:val="000000"/>
          <w:kern w:val="0"/>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方正楷体_GBK" w:hAnsi="方正楷体_GBK" w:eastAsia="方正楷体_GBK" w:cs="方正楷体_GBK"/>
          <w:b w:val="0"/>
          <w:bCs w:val="0"/>
          <w:color w:val="000000"/>
          <w:kern w:val="0"/>
          <w:sz w:val="32"/>
          <w:szCs w:val="32"/>
          <w:lang w:val="en-US" w:eastAsia="zh-CN" w:bidi="ar"/>
        </w:rPr>
        <w:t>（五）持续利用原则。</w:t>
      </w:r>
      <w:r>
        <w:rPr>
          <w:rFonts w:hint="eastAsia" w:ascii="仿宋_GB2312" w:hAnsi="仿宋_GB2312" w:eastAsia="仿宋_GB2312" w:cs="仿宋_GB2312"/>
          <w:b w:val="0"/>
          <w:bCs w:val="0"/>
          <w:color w:val="000000"/>
          <w:kern w:val="0"/>
          <w:sz w:val="32"/>
          <w:szCs w:val="32"/>
          <w:lang w:val="en-US" w:eastAsia="zh-CN" w:bidi="ar"/>
        </w:rPr>
        <w:t xml:space="preserve">土地利用不能只顾眼前而不顾长远，不能只顾经济和社会效益而不顾生态效益。同时，对土地利用结构调整更应在可持续发展理论的指导下遵循客观规律，实现土地类型的合理转换，做到保护与利用并重，利用服从保护，最终实现土地的可持续利用。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三、适用范围和指标配置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（一）适用范围：绥化市本级行政辖区范围内计划供应的全部国有建设用地。国有建设用地供应计划期一年。本计划年度为2026年度。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lang w:val="en-US" w:eastAsia="zh-CN" w:bidi="ar"/>
        </w:rPr>
        <w:t>（二）指标配置：2026年度绥化市国有建设用地供应总量控制在324公顷以内。本年度国有建设用地供应总量中，</w:t>
      </w:r>
      <w:r>
        <w:rPr>
          <w:rFonts w:hint="eastAsia" w:ascii="仿宋_GB2312" w:hAnsi="仿宋_GB2312" w:eastAsia="仿宋_GB2312" w:cs="仿宋_GB2312"/>
          <w:b w:val="0"/>
          <w:bCs w:val="0"/>
          <w:color w:val="000000"/>
          <w:kern w:val="0"/>
          <w:sz w:val="32"/>
          <w:szCs w:val="32"/>
          <w:highlight w:val="none"/>
          <w:lang w:val="en-US" w:eastAsia="zh-CN" w:bidi="ar"/>
        </w:rPr>
        <w:t>商业用地10公顷,占供应总量的3%；工矿仓储用地80公顷，占供应总量的24.6%；住宅用地9公顷，占供应总量的2.7%；公共管理与公共服务用地30公顷，占供应总量的9.2%；交通运输用地185公顷，占供应总量的57.09%；水域及水利设施用地5公顷，占供应总量的1.5%；特殊用地5公顷，占供应总量的1.5%。</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right="0"/>
        <w:jc w:val="both"/>
        <w:textAlignment w:val="auto"/>
        <w:rPr>
          <w:b w:val="0"/>
          <w:bCs w:val="0"/>
        </w:rPr>
      </w:pPr>
      <w:r>
        <w:rPr>
          <w:b w:val="0"/>
          <w:bCs w:val="0"/>
        </w:rPr>
        <w:drawing>
          <wp:inline distT="0" distB="0" distL="114300" distR="114300">
            <wp:extent cx="5450205" cy="3176270"/>
            <wp:effectExtent l="4445" t="4445" r="12700" b="19685"/>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b w:val="0"/>
          <w:bCs w:val="0"/>
        </w:rPr>
      </w:pPr>
      <w:r>
        <w:rPr>
          <w:rFonts w:hint="eastAsia" w:ascii="黑体" w:hAnsi="黑体" w:eastAsia="黑体" w:cs="黑体"/>
          <w:b w:val="0"/>
          <w:bCs w:val="0"/>
          <w:color w:val="000000"/>
          <w:kern w:val="0"/>
          <w:sz w:val="32"/>
          <w:szCs w:val="32"/>
          <w:lang w:val="en-US" w:eastAsia="zh-CN" w:bidi="ar"/>
        </w:rPr>
        <w:t>四、政策导向和执行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color w:val="000000"/>
          <w:kern w:val="0"/>
          <w:sz w:val="32"/>
          <w:szCs w:val="32"/>
          <w:lang w:val="en-US" w:eastAsia="zh-CN" w:bidi="ar"/>
        </w:rPr>
        <w:t>（一）优化空间布局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1.按照统筹城乡和区域协调发展原则，加强土地供应区域分类指导。严格控制中心城区土地供应规模，促进中心城区人口和功能有机疏解调整，重点保障基础设施和公用设施土地供应。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强化公共交通引导住宅用地供应，实现城市空间均衡发展。加强交通基础设施在土地供应和城市发展过程中的引导作用。将居住、商业、产业、教育、卫生、文化用地等进行一定程度上的混合安排，提高土地利用效率。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color w:val="000000"/>
          <w:kern w:val="0"/>
          <w:sz w:val="32"/>
          <w:szCs w:val="32"/>
          <w:lang w:val="en-US" w:eastAsia="zh-CN" w:bidi="ar"/>
        </w:rPr>
        <w:t xml:space="preserve">（二）优化土地供应结构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1.优先和适度超前安排基础设施用地，引导、保障和支撑城市健康有序发展。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2.大力支持符合城市功能定位的产业用地供应，构建合理、具有比较优势的产业结构。优先确保高新技术产业土地供应；支持基础服务业用地供应；保障文化创意产业的土地供应。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3.适度加大各类公共服务设施用地供应，提升公共服务水平。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color w:val="000000"/>
          <w:kern w:val="0"/>
          <w:sz w:val="32"/>
          <w:szCs w:val="32"/>
          <w:lang w:val="en-US" w:eastAsia="zh-CN" w:bidi="ar"/>
        </w:rPr>
        <w:t>（三）促进土地节约集约利用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1.严格保护耕地，从严控制增量用地供应。从严控制农用地转为建设用地；严格保护基本农田，除国家、省和本市重点建设工程项目外，严禁其他项目建设占用基本农田。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大力推进土地市场化运营，发挥市场配置资源基础性作用。继续完善商业、旅游、娱乐、商品住宅项目用地招标、拍卖、挂牌方式出让的供应机制；积极实施工业用地招标、拍卖、挂牌方式出让制度，逐步探索开展工业用地“标准地”出让制度。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五、有关要求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计划实施中，要把握全面、突出重点、强化服务、保障供应，对年度列入省“百大项目”及重点项目用地、政策性住房用地要采取超前介入，跟踪服务，全程保障，切实满足项目建设用地需求。要加强协调配合，确保计划指标有效落实，自然资源、发改、住建等有关部门要密切协调配合，共同组织做好建设项目用地各项前期准备工作，各乡（镇）人民政府、开发区管委会也要充分发挥职能优势，积极配合做好计划实施工作。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附件：1.2026年绥化市国有建设用地供应计划表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1600" w:firstLineChars="5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2.2026年绥化市住房用地供应计划汇总表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319" w:leftChars="152" w:right="0" w:firstLine="1280" w:firstLineChars="4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3.2026年绥化市保障性安居工程项目用地计划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319" w:leftChars="152" w:right="0" w:firstLine="1600" w:firstLineChars="5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统计表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1600" w:firstLineChars="5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4.</w:t>
      </w:r>
      <w:r>
        <w:rPr>
          <w:rFonts w:hint="eastAsia" w:ascii="仿宋_GB2312" w:hAnsi="仿宋_GB2312" w:eastAsia="仿宋_GB2312" w:cs="仿宋_GB2312"/>
          <w:b w:val="0"/>
          <w:bCs w:val="0"/>
          <w:sz w:val="32"/>
          <w:szCs w:val="32"/>
          <w:lang w:val="en-US" w:eastAsia="zh-CN"/>
        </w:rPr>
        <w:t>2026年</w:t>
      </w:r>
      <w:r>
        <w:rPr>
          <w:rFonts w:hint="eastAsia" w:ascii="仿宋_GB2312" w:hAnsi="仿宋_GB2312" w:eastAsia="仿宋_GB2312" w:cs="仿宋_GB2312"/>
          <w:b w:val="0"/>
          <w:bCs w:val="0"/>
          <w:sz w:val="32"/>
          <w:szCs w:val="32"/>
        </w:rPr>
        <w:t>度</w:t>
      </w:r>
      <w:r>
        <w:rPr>
          <w:rFonts w:hint="eastAsia" w:ascii="仿宋_GB2312" w:hAnsi="仿宋_GB2312" w:eastAsia="仿宋_GB2312" w:cs="仿宋_GB2312"/>
          <w:b w:val="0"/>
          <w:bCs w:val="0"/>
          <w:sz w:val="32"/>
          <w:szCs w:val="32"/>
          <w:lang w:eastAsia="zh-CN"/>
        </w:rPr>
        <w:t>绥化市（市本级）</w:t>
      </w:r>
      <w:r>
        <w:rPr>
          <w:rFonts w:hint="eastAsia" w:ascii="仿宋_GB2312" w:hAnsi="仿宋_GB2312" w:eastAsia="仿宋_GB2312" w:cs="仿宋_GB2312"/>
          <w:b w:val="0"/>
          <w:bCs w:val="0"/>
          <w:sz w:val="32"/>
          <w:szCs w:val="32"/>
        </w:rPr>
        <w:t>住宅用地供应计划</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1600" w:firstLineChars="500"/>
        <w:jc w:val="both"/>
        <w:textAlignment w:val="auto"/>
        <w:rPr>
          <w:rFonts w:hint="eastAsia" w:ascii="黑体" w:hAnsi="宋体" w:eastAsia="黑体" w:cs="宋体"/>
          <w:b w:val="0"/>
          <w:bCs w:val="0"/>
          <w:kern w:val="0"/>
          <w:sz w:val="36"/>
          <w:szCs w:val="36"/>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2026年</w:t>
      </w:r>
      <w:r>
        <w:rPr>
          <w:rFonts w:hint="eastAsia" w:ascii="仿宋_GB2312" w:hAnsi="仿宋_GB2312" w:eastAsia="仿宋_GB2312" w:cs="仿宋_GB2312"/>
          <w:b w:val="0"/>
          <w:bCs w:val="0"/>
          <w:sz w:val="32"/>
          <w:szCs w:val="32"/>
        </w:rPr>
        <w:t>度绥化市（市本级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住宅用地供应计划表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720" w:firstLineChars="200"/>
        <w:jc w:val="both"/>
        <w:textAlignment w:val="auto"/>
        <w:rPr>
          <w:rFonts w:hint="eastAsia" w:ascii="黑体" w:hAnsi="宋体" w:eastAsia="黑体" w:cs="宋体"/>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720" w:firstLineChars="200"/>
        <w:jc w:val="both"/>
        <w:textAlignment w:val="auto"/>
        <w:rPr>
          <w:rFonts w:hint="eastAsia" w:ascii="黑体" w:hAnsi="宋体" w:eastAsia="黑体" w:cs="宋体"/>
          <w:b w:val="0"/>
          <w:bCs w:val="0"/>
          <w:kern w:val="0"/>
          <w:sz w:val="36"/>
          <w:szCs w:val="36"/>
        </w:rPr>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黑体" w:hAnsi="黑体" w:eastAsia="黑体" w:cs="黑体"/>
          <w:b w:val="0"/>
          <w:bCs w:val="0"/>
          <w:sz w:val="28"/>
          <w:szCs w:val="28"/>
        </w:rPr>
      </w:pPr>
      <w:r>
        <w:rPr>
          <w:rFonts w:hint="eastAsia" w:ascii="黑体" w:hAnsi="黑体" w:eastAsia="黑体" w:cs="黑体"/>
          <w:b w:val="0"/>
          <w:bCs w:val="0"/>
          <w:color w:val="000000"/>
          <w:kern w:val="0"/>
          <w:sz w:val="28"/>
          <w:szCs w:val="28"/>
          <w:lang w:val="en-US" w:eastAsia="zh-CN" w:bidi="ar"/>
        </w:rPr>
        <w:t>附件1</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宋体" w:hAnsi="宋体" w:cs="宋体"/>
          <w:b w:val="0"/>
          <w:bCs w:val="0"/>
          <w:kern w:val="0"/>
          <w:sz w:val="32"/>
          <w:szCs w:val="32"/>
        </w:rPr>
      </w:pPr>
      <w:r>
        <w:rPr>
          <w:rFonts w:hint="eastAsia" w:ascii="方正小标宋简体" w:hAnsi="方正小标宋简体" w:eastAsia="方正小标宋简体" w:cs="方正小标宋简体"/>
          <w:b w:val="0"/>
          <w:bCs w:val="0"/>
          <w:color w:val="000000"/>
          <w:kern w:val="0"/>
          <w:sz w:val="44"/>
          <w:szCs w:val="44"/>
          <w:lang w:val="en-US" w:eastAsia="zh-CN" w:bidi="ar"/>
        </w:rPr>
        <w:t>2026年绥化市国有建设用地供应计划表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360" w:firstLineChars="200"/>
        <w:jc w:val="both"/>
        <w:textAlignment w:val="auto"/>
        <w:rPr>
          <w:rFonts w:hint="eastAsia" w:ascii="方正楷体_GBK" w:hAnsi="方正楷体_GBK" w:eastAsia="方正楷体_GBK" w:cs="方正楷体_GBK"/>
          <w:b w:val="0"/>
          <w:bCs w:val="0"/>
          <w:kern w:val="0"/>
          <w:sz w:val="21"/>
          <w:szCs w:val="21"/>
        </w:rPr>
      </w:pPr>
      <w:r>
        <w:rPr>
          <w:rFonts w:hint="eastAsia" w:ascii="宋体" w:hAnsi="宋体" w:cs="宋体"/>
          <w:b w:val="0"/>
          <w:bCs w:val="0"/>
          <w:kern w:val="0"/>
          <w:sz w:val="18"/>
          <w:szCs w:val="18"/>
        </w:rPr>
        <w:t xml:space="preserve">                                                                                                                            </w:t>
      </w:r>
      <w:r>
        <w:rPr>
          <w:rFonts w:hint="eastAsia" w:ascii="宋体" w:hAnsi="宋体" w:cs="宋体"/>
          <w:b w:val="0"/>
          <w:bCs w:val="0"/>
          <w:kern w:val="0"/>
          <w:sz w:val="18"/>
          <w:szCs w:val="18"/>
          <w:lang w:val="en-US" w:eastAsia="zh-CN"/>
        </w:rPr>
        <w:t xml:space="preserve">        </w:t>
      </w:r>
      <w:r>
        <w:rPr>
          <w:rFonts w:hint="eastAsia" w:ascii="宋体" w:hAnsi="宋体" w:cs="宋体"/>
          <w:b w:val="0"/>
          <w:bCs w:val="0"/>
          <w:kern w:val="0"/>
          <w:sz w:val="18"/>
          <w:szCs w:val="18"/>
        </w:rPr>
        <w:t xml:space="preserve">  </w:t>
      </w:r>
      <w:r>
        <w:rPr>
          <w:rFonts w:hint="eastAsia" w:ascii="宋体" w:hAnsi="宋体" w:cs="宋体"/>
          <w:b w:val="0"/>
          <w:bCs w:val="0"/>
          <w:kern w:val="0"/>
          <w:sz w:val="21"/>
          <w:szCs w:val="21"/>
        </w:rPr>
        <w:t xml:space="preserve"> </w:t>
      </w:r>
      <w:r>
        <w:rPr>
          <w:rFonts w:hint="eastAsia" w:ascii="方正楷体_GBK" w:hAnsi="方正楷体_GBK" w:eastAsia="方正楷体_GBK" w:cs="方正楷体_GBK"/>
          <w:b w:val="0"/>
          <w:bCs w:val="0"/>
          <w:kern w:val="0"/>
          <w:sz w:val="21"/>
          <w:szCs w:val="21"/>
        </w:rPr>
        <w:t xml:space="preserve">  单位：公顷</w:t>
      </w:r>
    </w:p>
    <w:tbl>
      <w:tblPr>
        <w:tblStyle w:val="4"/>
        <w:tblW w:w="14434" w:type="dxa"/>
        <w:jc w:val="center"/>
        <w:tblInd w:w="0" w:type="dxa"/>
        <w:tblLayout w:type="fixed"/>
        <w:tblCellMar>
          <w:top w:w="0" w:type="dxa"/>
          <w:left w:w="108" w:type="dxa"/>
          <w:bottom w:w="0" w:type="dxa"/>
          <w:right w:w="108" w:type="dxa"/>
        </w:tblCellMar>
      </w:tblPr>
      <w:tblGrid>
        <w:gridCol w:w="1343"/>
        <w:gridCol w:w="1124"/>
        <w:gridCol w:w="1241"/>
        <w:gridCol w:w="1146"/>
        <w:gridCol w:w="845"/>
        <w:gridCol w:w="960"/>
        <w:gridCol w:w="1125"/>
        <w:gridCol w:w="870"/>
        <w:gridCol w:w="1091"/>
        <w:gridCol w:w="1524"/>
        <w:gridCol w:w="1106"/>
        <w:gridCol w:w="1288"/>
        <w:gridCol w:w="771"/>
      </w:tblGrid>
      <w:tr>
        <w:tblPrEx>
          <w:tblLayout w:type="fixed"/>
          <w:tblCellMar>
            <w:top w:w="0" w:type="dxa"/>
            <w:left w:w="108" w:type="dxa"/>
            <w:bottom w:w="0" w:type="dxa"/>
            <w:right w:w="108" w:type="dxa"/>
          </w:tblCellMar>
        </w:tblPrEx>
        <w:trPr>
          <w:trHeight w:val="540" w:hRule="atLeast"/>
          <w:jc w:val="center"/>
        </w:trPr>
        <w:tc>
          <w:tcPr>
            <w:tcW w:w="1343" w:type="dxa"/>
            <w:vMerge w:val="restart"/>
            <w:tcBorders>
              <w:top w:val="single" w:color="auto" w:sz="4" w:space="0"/>
              <w:left w:val="single" w:color="auto" w:sz="4" w:space="0"/>
              <w:bottom w:val="single" w:color="000000" w:sz="4" w:space="0"/>
              <w:right w:val="single" w:color="auto" w:sz="4" w:space="0"/>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630" w:firstLineChars="300"/>
              <w:jc w:val="left"/>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用途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left"/>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区县</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合计</w:t>
            </w:r>
          </w:p>
        </w:tc>
        <w:tc>
          <w:tcPr>
            <w:tcW w:w="12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商服用地</w:t>
            </w:r>
          </w:p>
        </w:tc>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工矿仓储用地</w:t>
            </w:r>
          </w:p>
        </w:tc>
        <w:tc>
          <w:tcPr>
            <w:tcW w:w="489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住宅用地</w:t>
            </w:r>
          </w:p>
        </w:tc>
        <w:tc>
          <w:tcPr>
            <w:tcW w:w="15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公共管理与公共服务用地</w:t>
            </w:r>
          </w:p>
        </w:tc>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交通运输用地</w:t>
            </w:r>
          </w:p>
        </w:tc>
        <w:tc>
          <w:tcPr>
            <w:tcW w:w="12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水域及水利设施用地</w:t>
            </w:r>
          </w:p>
        </w:tc>
        <w:tc>
          <w:tcPr>
            <w:tcW w:w="7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特殊用地</w:t>
            </w:r>
          </w:p>
        </w:tc>
      </w:tr>
      <w:tr>
        <w:tblPrEx>
          <w:tblLayout w:type="fixed"/>
          <w:tblCellMar>
            <w:top w:w="0" w:type="dxa"/>
            <w:left w:w="108" w:type="dxa"/>
            <w:bottom w:w="0" w:type="dxa"/>
            <w:right w:w="108" w:type="dxa"/>
          </w:tblCellMar>
        </w:tblPrEx>
        <w:trPr>
          <w:trHeight w:val="540" w:hRule="atLeast"/>
          <w:jc w:val="center"/>
        </w:trPr>
        <w:tc>
          <w:tcPr>
            <w:tcW w:w="1343" w:type="dxa"/>
            <w:vMerge w:val="continue"/>
            <w:tcBorders>
              <w:top w:val="single" w:color="auto" w:sz="12"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both"/>
              <w:textAlignment w:val="auto"/>
              <w:rPr>
                <w:rFonts w:ascii="宋体" w:hAnsi="宋体" w:cs="宋体"/>
                <w:b w:val="0"/>
                <w:bCs w:val="0"/>
                <w:kern w:val="0"/>
                <w:szCs w:val="21"/>
              </w:rPr>
            </w:pPr>
          </w:p>
        </w:tc>
        <w:tc>
          <w:tcPr>
            <w:tcW w:w="1124"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1241"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1146"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小计</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廉租房用地</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经济适用房用地</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商品房用地</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其他用地</w:t>
            </w:r>
          </w:p>
        </w:tc>
        <w:tc>
          <w:tcPr>
            <w:tcW w:w="1524"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1106"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1288"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771"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r>
      <w:tr>
        <w:tblPrEx>
          <w:tblLayout w:type="fixed"/>
          <w:tblCellMar>
            <w:top w:w="0" w:type="dxa"/>
            <w:left w:w="108" w:type="dxa"/>
            <w:bottom w:w="0" w:type="dxa"/>
            <w:right w:w="108" w:type="dxa"/>
          </w:tblCellMar>
        </w:tblPrEx>
        <w:trPr>
          <w:trHeight w:val="540" w:hRule="atLeast"/>
          <w:jc w:val="center"/>
        </w:trPr>
        <w:tc>
          <w:tcPr>
            <w:tcW w:w="134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rPr>
            </w:pPr>
            <w:r>
              <w:rPr>
                <w:rFonts w:hint="eastAsia" w:ascii="方正仿宋_GBK" w:hAnsi="方正仿宋_GBK" w:eastAsia="方正仿宋_GBK" w:cs="方正仿宋_GBK"/>
                <w:b w:val="0"/>
                <w:bCs w:val="0"/>
                <w:kern w:val="0"/>
                <w:szCs w:val="21"/>
              </w:rPr>
              <w:t>绥化</w:t>
            </w: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324</w:t>
            </w:r>
          </w:p>
        </w:tc>
        <w:tc>
          <w:tcPr>
            <w:tcW w:w="124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10</w:t>
            </w:r>
          </w:p>
        </w:tc>
        <w:tc>
          <w:tcPr>
            <w:tcW w:w="11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80</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9</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0</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9</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0</w:t>
            </w:r>
          </w:p>
        </w:tc>
        <w:tc>
          <w:tcPr>
            <w:tcW w:w="15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30</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val="0"/>
              <w:tabs>
                <w:tab w:val="left" w:pos="438"/>
              </w:tabs>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185</w:t>
            </w:r>
          </w:p>
        </w:tc>
        <w:tc>
          <w:tcPr>
            <w:tcW w:w="128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5</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5</w:t>
            </w:r>
          </w:p>
        </w:tc>
      </w:tr>
      <w:tr>
        <w:tblPrEx>
          <w:tblLayout w:type="fixed"/>
          <w:tblCellMar>
            <w:top w:w="0" w:type="dxa"/>
            <w:left w:w="108" w:type="dxa"/>
            <w:bottom w:w="0" w:type="dxa"/>
            <w:right w:w="108" w:type="dxa"/>
          </w:tblCellMar>
        </w:tblPrEx>
        <w:trPr>
          <w:trHeight w:val="540" w:hRule="atLeast"/>
          <w:jc w:val="center"/>
        </w:trPr>
        <w:tc>
          <w:tcPr>
            <w:tcW w:w="134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center"/>
              <w:textAlignment w:val="auto"/>
              <w:rPr>
                <w:rFonts w:ascii="宋体" w:hAnsi="宋体" w:cs="宋体"/>
                <w:b w:val="0"/>
                <w:bCs w:val="0"/>
                <w:kern w:val="0"/>
                <w:sz w:val="22"/>
                <w:szCs w:val="22"/>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24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5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28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r>
      <w:tr>
        <w:tblPrEx>
          <w:tblLayout w:type="fixed"/>
          <w:tblCellMar>
            <w:top w:w="0" w:type="dxa"/>
            <w:left w:w="108" w:type="dxa"/>
            <w:bottom w:w="0" w:type="dxa"/>
            <w:right w:w="108" w:type="dxa"/>
          </w:tblCellMar>
        </w:tblPrEx>
        <w:trPr>
          <w:trHeight w:val="540" w:hRule="atLeast"/>
          <w:jc w:val="center"/>
        </w:trPr>
        <w:tc>
          <w:tcPr>
            <w:tcW w:w="134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24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5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28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kern w:val="0"/>
          <w:sz w:val="21"/>
          <w:szCs w:val="21"/>
        </w:rPr>
      </w:pPr>
      <w:r>
        <w:rPr>
          <w:rFonts w:hint="eastAsia" w:ascii="方正楷体_GBK" w:hAnsi="方正楷体_GBK" w:eastAsia="方正楷体_GBK" w:cs="方正楷体_GBK"/>
          <w:b w:val="0"/>
          <w:bCs w:val="0"/>
          <w:kern w:val="0"/>
          <w:sz w:val="21"/>
          <w:szCs w:val="21"/>
        </w:rPr>
        <w:t>注：1.土地用途按照《土地利用现状分类》（GB/T 21010-2007）一级类统计；</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kern w:val="0"/>
          <w:sz w:val="21"/>
          <w:szCs w:val="21"/>
        </w:rPr>
      </w:pPr>
      <w:r>
        <w:rPr>
          <w:rFonts w:hint="eastAsia" w:ascii="方正楷体_GBK" w:hAnsi="方正楷体_GBK" w:eastAsia="方正楷体_GBK" w:cs="方正楷体_GBK"/>
          <w:b w:val="0"/>
          <w:bCs w:val="0"/>
          <w:kern w:val="0"/>
          <w:sz w:val="21"/>
          <w:szCs w:val="21"/>
        </w:rPr>
        <w:t xml:space="preserve">    2.区国土资源行政主管部门未独立编制国有建设用地供应计划的，计划供地情况直接统计在市本级，不单独统计。</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kern w:val="44"/>
          <w:sz w:val="21"/>
          <w:szCs w:val="21"/>
        </w:rPr>
        <w:sectPr>
          <w:headerReference r:id="rId5" w:type="default"/>
          <w:pgSz w:w="16838" w:h="11906" w:orient="landscape"/>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Calibri" w:hAnsi="Calibri" w:cs="宋体"/>
          <w:b w:val="0"/>
          <w:bCs w:val="0"/>
          <w:color w:val="000000"/>
          <w:kern w:val="0"/>
          <w:sz w:val="32"/>
          <w:szCs w:val="32"/>
        </w:rPr>
      </w:pPr>
      <w:r>
        <w:rPr>
          <w:rFonts w:hint="eastAsia" w:ascii="黑体" w:hAnsi="黑体" w:eastAsia="黑体" w:cs="黑体"/>
          <w:b w:val="0"/>
          <w:bCs w:val="0"/>
          <w:sz w:val="28"/>
          <w:szCs w:val="28"/>
        </w:rPr>
        <w:t>附</w:t>
      </w:r>
      <w:r>
        <w:rPr>
          <w:rFonts w:hint="eastAsia" w:ascii="黑体" w:hAnsi="黑体" w:eastAsia="黑体" w:cs="黑体"/>
          <w:b w:val="0"/>
          <w:bCs w:val="0"/>
          <w:sz w:val="28"/>
          <w:szCs w:val="28"/>
          <w:lang w:val="en-US" w:eastAsia="zh-CN"/>
        </w:rPr>
        <w:t>件</w:t>
      </w:r>
      <w:r>
        <w:rPr>
          <w:rFonts w:hint="eastAsia" w:ascii="黑体" w:hAnsi="黑体" w:eastAsia="黑体" w:cs="黑体"/>
          <w:b w:val="0"/>
          <w:bCs w:val="0"/>
          <w:sz w:val="28"/>
          <w:szCs w:val="28"/>
        </w:rPr>
        <w:t>2</w:t>
      </w:r>
      <w:r>
        <w:rPr>
          <w:rFonts w:hint="eastAsia" w:ascii="黑体" w:hAnsi="黑体" w:eastAsia="黑体" w:cs="黑体"/>
          <w:b w:val="0"/>
          <w:bCs w:val="0"/>
          <w:color w:val="000000"/>
          <w:kern w:val="0"/>
          <w:sz w:val="28"/>
          <w:szCs w:val="28"/>
        </w:rPr>
        <w:t xml:space="preserve"> </w:t>
      </w:r>
      <w:r>
        <w:rPr>
          <w:rFonts w:hint="eastAsia" w:ascii="Calibri" w:hAnsi="Calibri" w:cs="宋体"/>
          <w:b w:val="0"/>
          <w:bCs w:val="0"/>
          <w:color w:val="000000"/>
          <w:kern w:val="0"/>
          <w:sz w:val="32"/>
          <w:szCs w:val="32"/>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2026年绥化市住房用地供应计划汇总表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360" w:firstLineChars="200"/>
        <w:jc w:val="both"/>
        <w:textAlignment w:val="auto"/>
        <w:rPr>
          <w:rFonts w:hint="eastAsia" w:ascii="方正楷体_GBK" w:hAnsi="方正楷体_GBK" w:eastAsia="方正楷体_GBK" w:cs="方正楷体_GBK"/>
          <w:b w:val="0"/>
          <w:bCs w:val="0"/>
          <w:kern w:val="0"/>
          <w:sz w:val="21"/>
          <w:szCs w:val="21"/>
        </w:rPr>
      </w:pPr>
      <w:r>
        <w:rPr>
          <w:rFonts w:hint="eastAsia" w:ascii="宋体" w:hAnsi="宋体" w:cs="宋体"/>
          <w:b w:val="0"/>
          <w:bCs w:val="0"/>
          <w:kern w:val="0"/>
          <w:sz w:val="18"/>
          <w:szCs w:val="18"/>
          <w:lang w:val="en-US" w:eastAsia="zh-CN"/>
        </w:rPr>
        <w:t xml:space="preserve">                                                                                                   </w:t>
      </w:r>
      <w:r>
        <w:rPr>
          <w:rFonts w:hint="eastAsia" w:asciiTheme="minorEastAsia" w:hAnsiTheme="minorEastAsia" w:eastAsiaTheme="minorEastAsia" w:cstheme="minorEastAsia"/>
          <w:b w:val="0"/>
          <w:bCs w:val="0"/>
          <w:kern w:val="0"/>
          <w:sz w:val="18"/>
          <w:szCs w:val="18"/>
          <w:lang w:val="en-US" w:eastAsia="zh-CN"/>
        </w:rPr>
        <w:t xml:space="preserve"> </w:t>
      </w:r>
      <w:r>
        <w:rPr>
          <w:rFonts w:hint="eastAsia" w:asciiTheme="minorEastAsia" w:hAnsiTheme="minorEastAsia" w:cstheme="minorEastAsia"/>
          <w:b w:val="0"/>
          <w:bCs w:val="0"/>
          <w:kern w:val="0"/>
          <w:sz w:val="18"/>
          <w:szCs w:val="18"/>
          <w:lang w:val="en-US" w:eastAsia="zh-CN"/>
        </w:rPr>
        <w:t xml:space="preserve">              </w:t>
      </w:r>
      <w:r>
        <w:rPr>
          <w:rFonts w:hint="eastAsia" w:ascii="方正楷体_GBK" w:hAnsi="方正楷体_GBK" w:eastAsia="方正楷体_GBK" w:cs="方正楷体_GBK"/>
          <w:b w:val="0"/>
          <w:bCs w:val="0"/>
          <w:kern w:val="0"/>
          <w:sz w:val="21"/>
          <w:szCs w:val="21"/>
          <w:lang w:val="en-US" w:eastAsia="zh-CN"/>
        </w:rPr>
        <w:t xml:space="preserve">     </w:t>
      </w:r>
      <w:r>
        <w:rPr>
          <w:rFonts w:hint="eastAsia" w:ascii="方正楷体_GBK" w:hAnsi="方正楷体_GBK" w:eastAsia="方正楷体_GBK" w:cs="方正楷体_GBK"/>
          <w:b w:val="0"/>
          <w:bCs w:val="0"/>
          <w:kern w:val="0"/>
          <w:sz w:val="21"/>
          <w:szCs w:val="21"/>
        </w:rPr>
        <w:t xml:space="preserve">单位：公顷、% </w:t>
      </w:r>
    </w:p>
    <w:tbl>
      <w:tblPr>
        <w:tblStyle w:val="4"/>
        <w:tblpPr w:leftFromText="180" w:rightFromText="180" w:vertAnchor="text" w:horzAnchor="page" w:tblpX="2008" w:tblpY="192"/>
        <w:tblOverlap w:val="never"/>
        <w:tblW w:w="13000" w:type="dxa"/>
        <w:tblInd w:w="0" w:type="dxa"/>
        <w:tblLayout w:type="fixed"/>
        <w:tblCellMar>
          <w:top w:w="0" w:type="dxa"/>
          <w:left w:w="108" w:type="dxa"/>
          <w:bottom w:w="0" w:type="dxa"/>
          <w:right w:w="108" w:type="dxa"/>
        </w:tblCellMar>
      </w:tblPr>
      <w:tblGrid>
        <w:gridCol w:w="1008"/>
        <w:gridCol w:w="658"/>
        <w:gridCol w:w="662"/>
        <w:gridCol w:w="705"/>
        <w:gridCol w:w="951"/>
        <w:gridCol w:w="904"/>
        <w:gridCol w:w="590"/>
        <w:gridCol w:w="863"/>
        <w:gridCol w:w="892"/>
        <w:gridCol w:w="690"/>
        <w:gridCol w:w="705"/>
        <w:gridCol w:w="645"/>
        <w:gridCol w:w="915"/>
        <w:gridCol w:w="640"/>
        <w:gridCol w:w="942"/>
        <w:gridCol w:w="1230"/>
      </w:tblGrid>
      <w:tr>
        <w:tblPrEx>
          <w:tblLayout w:type="fixed"/>
          <w:tblCellMar>
            <w:top w:w="0" w:type="dxa"/>
            <w:left w:w="108" w:type="dxa"/>
            <w:bottom w:w="0" w:type="dxa"/>
            <w:right w:w="108" w:type="dxa"/>
          </w:tblCellMar>
        </w:tblPrEx>
        <w:trPr>
          <w:trHeight w:val="343" w:hRule="atLeast"/>
        </w:trPr>
        <w:tc>
          <w:tcPr>
            <w:tcW w:w="10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县、市</w:t>
            </w:r>
          </w:p>
        </w:tc>
        <w:tc>
          <w:tcPr>
            <w:tcW w:w="2025" w:type="dxa"/>
            <w:gridSpan w:val="3"/>
            <w:vMerge w:val="restart"/>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供地总量</w:t>
            </w:r>
          </w:p>
        </w:tc>
        <w:tc>
          <w:tcPr>
            <w:tcW w:w="7155" w:type="dxa"/>
            <w:gridSpan w:val="9"/>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保障性安居工程用地</w:t>
            </w:r>
          </w:p>
        </w:tc>
        <w:tc>
          <w:tcPr>
            <w:tcW w:w="1582" w:type="dxa"/>
            <w:gridSpan w:val="2"/>
            <w:tcBorders>
              <w:top w:val="single" w:color="000000" w:sz="8" w:space="0"/>
              <w:left w:val="nil"/>
              <w:bottom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商品住房用地</w:t>
            </w:r>
          </w:p>
        </w:tc>
        <w:tc>
          <w:tcPr>
            <w:tcW w:w="1230" w:type="dxa"/>
            <w:vMerge w:val="restart"/>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left"/>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保障性安居工程和中小套型商品房用地占比（%）</w:t>
            </w:r>
          </w:p>
        </w:tc>
      </w:tr>
      <w:tr>
        <w:tblPrEx>
          <w:tblLayout w:type="fixed"/>
          <w:tblCellMar>
            <w:top w:w="0" w:type="dxa"/>
            <w:left w:w="108" w:type="dxa"/>
            <w:bottom w:w="0" w:type="dxa"/>
            <w:right w:w="108" w:type="dxa"/>
          </w:tblCellMar>
        </w:tblPrEx>
        <w:trPr>
          <w:trHeight w:val="675"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2025" w:type="dxa"/>
            <w:gridSpan w:val="3"/>
            <w:vMerge w:val="continue"/>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1855" w:type="dxa"/>
            <w:gridSpan w:val="2"/>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保障性住房用地</w:t>
            </w:r>
          </w:p>
        </w:tc>
        <w:tc>
          <w:tcPr>
            <w:tcW w:w="3035" w:type="dxa"/>
            <w:gridSpan w:val="4"/>
            <w:tcBorders>
              <w:top w:val="single" w:color="000000" w:sz="8" w:space="0"/>
              <w:left w:val="nil"/>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各类棚户区改造用地</w:t>
            </w:r>
          </w:p>
        </w:tc>
        <w:tc>
          <w:tcPr>
            <w:tcW w:w="1350" w:type="dxa"/>
            <w:gridSpan w:val="2"/>
            <w:tcBorders>
              <w:top w:val="single" w:color="000000" w:sz="8"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公共租赁房</w:t>
            </w:r>
          </w:p>
        </w:tc>
        <w:tc>
          <w:tcPr>
            <w:tcW w:w="915" w:type="dxa"/>
            <w:vMerge w:val="restart"/>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限价商品房</w:t>
            </w:r>
          </w:p>
        </w:tc>
        <w:tc>
          <w:tcPr>
            <w:tcW w:w="640" w:type="dxa"/>
            <w:vMerge w:val="restart"/>
            <w:tcBorders>
              <w:top w:val="nil"/>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942" w:type="dxa"/>
            <w:vMerge w:val="restart"/>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中小套型商品住房</w:t>
            </w:r>
          </w:p>
        </w:tc>
        <w:tc>
          <w:tcPr>
            <w:tcW w:w="1230" w:type="dxa"/>
            <w:vMerge w:val="continue"/>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left"/>
              <w:textAlignment w:val="auto"/>
              <w:rPr>
                <w:rFonts w:hint="eastAsia" w:ascii="宋体" w:hAnsi="宋体" w:cs="宋体"/>
                <w:b w:val="0"/>
                <w:bCs w:val="0"/>
                <w:szCs w:val="21"/>
                <w:lang w:val="en-US" w:eastAsia="zh-CN"/>
              </w:rPr>
            </w:pPr>
          </w:p>
        </w:tc>
      </w:tr>
      <w:tr>
        <w:tblPrEx>
          <w:tblLayout w:type="fixed"/>
          <w:tblCellMar>
            <w:top w:w="0" w:type="dxa"/>
            <w:left w:w="108" w:type="dxa"/>
            <w:bottom w:w="0" w:type="dxa"/>
            <w:right w:w="108" w:type="dxa"/>
          </w:tblCellMar>
        </w:tblPrEx>
        <w:trPr>
          <w:trHeight w:val="1770"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658" w:type="dxa"/>
            <w:tcBorders>
              <w:top w:val="nil"/>
              <w:left w:val="single" w:color="auto" w:sz="4" w:space="0"/>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合计</w:t>
            </w:r>
          </w:p>
        </w:tc>
        <w:tc>
          <w:tcPr>
            <w:tcW w:w="662"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存量</w:t>
            </w:r>
          </w:p>
        </w:tc>
        <w:tc>
          <w:tcPr>
            <w:tcW w:w="70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增量</w:t>
            </w:r>
          </w:p>
        </w:tc>
        <w:tc>
          <w:tcPr>
            <w:tcW w:w="951"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廉租房</w:t>
            </w:r>
          </w:p>
        </w:tc>
        <w:tc>
          <w:tcPr>
            <w:tcW w:w="90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经济适用房</w:t>
            </w:r>
          </w:p>
        </w:tc>
        <w:tc>
          <w:tcPr>
            <w:tcW w:w="59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863" w:type="dxa"/>
            <w:tcBorders>
              <w:top w:val="single" w:color="000000" w:sz="8" w:space="0"/>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廉租房</w:t>
            </w:r>
          </w:p>
        </w:tc>
        <w:tc>
          <w:tcPr>
            <w:tcW w:w="892"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经济适用房</w:t>
            </w:r>
          </w:p>
        </w:tc>
        <w:tc>
          <w:tcPr>
            <w:tcW w:w="690"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中小套型</w:t>
            </w:r>
          </w:p>
        </w:tc>
        <w:tc>
          <w:tcPr>
            <w:tcW w:w="7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划拨</w:t>
            </w:r>
          </w:p>
        </w:tc>
        <w:tc>
          <w:tcPr>
            <w:tcW w:w="64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出让</w:t>
            </w:r>
          </w:p>
        </w:tc>
        <w:tc>
          <w:tcPr>
            <w:tcW w:w="915" w:type="dxa"/>
            <w:vMerge w:val="continue"/>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640" w:type="dxa"/>
            <w:vMerge w:val="continue"/>
            <w:tcBorders>
              <w:top w:val="nil"/>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942" w:type="dxa"/>
            <w:vMerge w:val="continue"/>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left"/>
              <w:textAlignment w:val="auto"/>
              <w:rPr>
                <w:rFonts w:hint="eastAsia" w:ascii="宋体" w:hAnsi="宋体" w:cs="宋体"/>
                <w:b w:val="0"/>
                <w:bCs w:val="0"/>
                <w:szCs w:val="21"/>
                <w:lang w:val="en-US" w:eastAsia="zh-CN"/>
              </w:rPr>
            </w:pPr>
          </w:p>
        </w:tc>
        <w:tc>
          <w:tcPr>
            <w:tcW w:w="1230" w:type="dxa"/>
            <w:vMerge w:val="continue"/>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left"/>
              <w:textAlignment w:val="auto"/>
              <w:rPr>
                <w:rFonts w:hint="eastAsia" w:ascii="宋体" w:hAnsi="宋体" w:cs="宋体"/>
                <w:b w:val="0"/>
                <w:bCs w:val="0"/>
                <w:szCs w:val="21"/>
                <w:lang w:val="en-US" w:eastAsia="zh-CN"/>
              </w:rPr>
            </w:pPr>
          </w:p>
        </w:tc>
      </w:tr>
      <w:tr>
        <w:tblPrEx>
          <w:tblLayout w:type="fixed"/>
          <w:tblCellMar>
            <w:top w:w="0" w:type="dxa"/>
            <w:left w:w="108" w:type="dxa"/>
            <w:bottom w:w="0" w:type="dxa"/>
            <w:right w:w="108" w:type="dxa"/>
          </w:tblCellMar>
        </w:tblPrEx>
        <w:trPr>
          <w:trHeight w:val="965"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绥化市</w:t>
            </w:r>
          </w:p>
        </w:tc>
        <w:tc>
          <w:tcPr>
            <w:tcW w:w="658" w:type="dxa"/>
            <w:tcBorders>
              <w:top w:val="single" w:color="000000" w:sz="4"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9</w:t>
            </w:r>
          </w:p>
        </w:tc>
        <w:tc>
          <w:tcPr>
            <w:tcW w:w="662"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3</w:t>
            </w:r>
          </w:p>
        </w:tc>
        <w:tc>
          <w:tcPr>
            <w:tcW w:w="705"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6</w:t>
            </w:r>
          </w:p>
        </w:tc>
        <w:tc>
          <w:tcPr>
            <w:tcW w:w="951"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0</w:t>
            </w:r>
          </w:p>
        </w:tc>
        <w:tc>
          <w:tcPr>
            <w:tcW w:w="904"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590"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0</w:t>
            </w:r>
          </w:p>
        </w:tc>
        <w:tc>
          <w:tcPr>
            <w:tcW w:w="863" w:type="dxa"/>
            <w:tcBorders>
              <w:top w:val="single" w:color="000000" w:sz="4" w:space="0"/>
              <w:left w:val="nil"/>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0</w:t>
            </w:r>
          </w:p>
        </w:tc>
        <w:tc>
          <w:tcPr>
            <w:tcW w:w="705" w:type="dxa"/>
            <w:tcBorders>
              <w:top w:val="single" w:color="000000" w:sz="4"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45"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915"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40"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2.8</w:t>
            </w:r>
          </w:p>
        </w:tc>
        <w:tc>
          <w:tcPr>
            <w:tcW w:w="942"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11.2</w:t>
            </w:r>
          </w:p>
        </w:tc>
        <w:tc>
          <w:tcPr>
            <w:tcW w:w="1230"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80%</w:t>
            </w:r>
          </w:p>
        </w:tc>
      </w:tr>
      <w:tr>
        <w:tblPrEx>
          <w:tblLayout w:type="fixed"/>
          <w:tblCellMar>
            <w:top w:w="0" w:type="dxa"/>
            <w:left w:w="108" w:type="dxa"/>
            <w:bottom w:w="0" w:type="dxa"/>
            <w:right w:w="108" w:type="dxa"/>
          </w:tblCellMar>
        </w:tblPrEx>
        <w:trPr>
          <w:trHeight w:val="681" w:hRule="atLeast"/>
        </w:trPr>
        <w:tc>
          <w:tcPr>
            <w:tcW w:w="1008" w:type="dxa"/>
            <w:tcBorders>
              <w:top w:val="nil"/>
              <w:left w:val="single" w:color="000000" w:sz="8" w:space="0"/>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合计</w:t>
            </w:r>
          </w:p>
        </w:tc>
        <w:tc>
          <w:tcPr>
            <w:tcW w:w="658"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9</w:t>
            </w:r>
          </w:p>
        </w:tc>
        <w:tc>
          <w:tcPr>
            <w:tcW w:w="662"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3</w:t>
            </w:r>
          </w:p>
        </w:tc>
        <w:tc>
          <w:tcPr>
            <w:tcW w:w="70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6</w:t>
            </w:r>
          </w:p>
        </w:tc>
        <w:tc>
          <w:tcPr>
            <w:tcW w:w="951"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90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59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863" w:type="dxa"/>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0</w:t>
            </w:r>
          </w:p>
        </w:tc>
        <w:tc>
          <w:tcPr>
            <w:tcW w:w="70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4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91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4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2.8</w:t>
            </w:r>
          </w:p>
        </w:tc>
        <w:tc>
          <w:tcPr>
            <w:tcW w:w="942"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11.2</w:t>
            </w:r>
          </w:p>
        </w:tc>
        <w:tc>
          <w:tcPr>
            <w:tcW w:w="123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附件</w:t>
      </w:r>
      <w:r>
        <w:rPr>
          <w:rFonts w:hint="eastAsia" w:ascii="黑体" w:hAnsi="黑体" w:eastAsia="黑体" w:cs="黑体"/>
          <w:b w:val="0"/>
          <w:bCs w:val="0"/>
          <w:sz w:val="28"/>
          <w:szCs w:val="28"/>
        </w:rPr>
        <w:t>3</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2026年绥化市保障性安居工程项目用地计划统计表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00" w:firstLineChars="200"/>
        <w:jc w:val="both"/>
        <w:textAlignment w:val="auto"/>
        <w:rPr>
          <w:rFonts w:hint="eastAsia" w:ascii="方正楷体_GBK" w:hAnsi="方正楷体_GBK" w:eastAsia="方正楷体_GBK" w:cs="方正楷体_GBK"/>
          <w:b w:val="0"/>
          <w:bCs w:val="0"/>
          <w:kern w:val="0"/>
          <w:sz w:val="21"/>
          <w:szCs w:val="21"/>
        </w:rPr>
      </w:pPr>
      <w:r>
        <w:rPr>
          <w:rFonts w:hint="eastAsia" w:ascii="黑体" w:hAnsi="Calibri" w:eastAsia="黑体" w:cs="宋体"/>
          <w:b w:val="0"/>
          <w:bCs w:val="0"/>
          <w:kern w:val="0"/>
          <w:sz w:val="20"/>
          <w:szCs w:val="20"/>
        </w:rPr>
        <w:t xml:space="preserve">                                                                                                                    </w:t>
      </w:r>
      <w:r>
        <w:rPr>
          <w:rFonts w:hint="eastAsia" w:ascii="方正楷体_GBK" w:hAnsi="方正楷体_GBK" w:eastAsia="方正楷体_GBK" w:cs="方正楷体_GBK"/>
          <w:b w:val="0"/>
          <w:bCs w:val="0"/>
          <w:kern w:val="0"/>
          <w:sz w:val="21"/>
          <w:szCs w:val="21"/>
        </w:rPr>
        <w:t xml:space="preserve">     单位：公顷</w:t>
      </w:r>
    </w:p>
    <w:tbl>
      <w:tblPr>
        <w:tblStyle w:val="4"/>
        <w:tblW w:w="15517" w:type="dxa"/>
        <w:jc w:val="center"/>
        <w:tblInd w:w="0" w:type="dxa"/>
        <w:tblLayout w:type="fixed"/>
        <w:tblCellMar>
          <w:top w:w="0" w:type="dxa"/>
          <w:left w:w="108" w:type="dxa"/>
          <w:bottom w:w="0" w:type="dxa"/>
          <w:right w:w="108" w:type="dxa"/>
        </w:tblCellMar>
      </w:tblPr>
      <w:tblGrid>
        <w:gridCol w:w="885"/>
        <w:gridCol w:w="786"/>
        <w:gridCol w:w="744"/>
        <w:gridCol w:w="915"/>
        <w:gridCol w:w="795"/>
        <w:gridCol w:w="795"/>
        <w:gridCol w:w="726"/>
        <w:gridCol w:w="744"/>
        <w:gridCol w:w="783"/>
        <w:gridCol w:w="730"/>
        <w:gridCol w:w="797"/>
        <w:gridCol w:w="646"/>
        <w:gridCol w:w="861"/>
        <w:gridCol w:w="728"/>
        <w:gridCol w:w="810"/>
        <w:gridCol w:w="521"/>
        <w:gridCol w:w="744"/>
        <w:gridCol w:w="764"/>
        <w:gridCol w:w="861"/>
        <w:gridCol w:w="882"/>
      </w:tblGrid>
      <w:tr>
        <w:tblPrEx>
          <w:tblLayout w:type="fixed"/>
          <w:tblCellMar>
            <w:top w:w="0" w:type="dxa"/>
            <w:left w:w="108" w:type="dxa"/>
            <w:bottom w:w="0" w:type="dxa"/>
            <w:right w:w="108" w:type="dxa"/>
          </w:tblCellMar>
        </w:tblPrEx>
        <w:trPr>
          <w:cantSplit/>
          <w:trHeight w:val="1134" w:hRule="exact"/>
          <w:jc w:val="center"/>
        </w:trPr>
        <w:tc>
          <w:tcPr>
            <w:tcW w:w="885"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3240" w:type="dxa"/>
            <w:gridSpan w:val="4"/>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保障性住房用地</w:t>
            </w:r>
          </w:p>
        </w:tc>
        <w:tc>
          <w:tcPr>
            <w:tcW w:w="7620" w:type="dxa"/>
            <w:gridSpan w:val="10"/>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各类棚户区改造用地</w:t>
            </w:r>
          </w:p>
        </w:tc>
        <w:tc>
          <w:tcPr>
            <w:tcW w:w="2029" w:type="dxa"/>
            <w:gridSpan w:val="3"/>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公共租赁房</w:t>
            </w:r>
          </w:p>
        </w:tc>
        <w:tc>
          <w:tcPr>
            <w:tcW w:w="1743" w:type="dxa"/>
            <w:gridSpan w:val="2"/>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限价商品房</w:t>
            </w:r>
          </w:p>
        </w:tc>
      </w:tr>
      <w:tr>
        <w:tblPrEx>
          <w:tblLayout w:type="fixed"/>
          <w:tblCellMar>
            <w:top w:w="0" w:type="dxa"/>
            <w:left w:w="108" w:type="dxa"/>
            <w:bottom w:w="0" w:type="dxa"/>
            <w:right w:w="108" w:type="dxa"/>
          </w:tblCellMar>
        </w:tblPrEx>
        <w:trPr>
          <w:cantSplit/>
          <w:trHeight w:val="1134" w:hRule="exact"/>
          <w:jc w:val="center"/>
        </w:trPr>
        <w:tc>
          <w:tcPr>
            <w:tcW w:w="885" w:type="dxa"/>
            <w:tcBorders>
              <w:top w:val="nil"/>
              <w:left w:val="single" w:color="000000" w:sz="8" w:space="0"/>
              <w:bottom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项目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名称</w:t>
            </w:r>
          </w:p>
        </w:tc>
        <w:tc>
          <w:tcPr>
            <w:tcW w:w="78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廉租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住房</w:t>
            </w: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91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经济适用住房</w:t>
            </w:r>
          </w:p>
        </w:tc>
        <w:tc>
          <w:tcPr>
            <w:tcW w:w="79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9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城市棚户区</w:t>
            </w:r>
          </w:p>
        </w:tc>
        <w:tc>
          <w:tcPr>
            <w:tcW w:w="72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4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工矿棚户区</w:t>
            </w:r>
          </w:p>
        </w:tc>
        <w:tc>
          <w:tcPr>
            <w:tcW w:w="783"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3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林区棚户区</w:t>
            </w:r>
          </w:p>
        </w:tc>
        <w:tc>
          <w:tcPr>
            <w:tcW w:w="797"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64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垦区危房</w:t>
            </w:r>
          </w:p>
        </w:tc>
        <w:tc>
          <w:tcPr>
            <w:tcW w:w="861"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2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煤矿棚户区</w:t>
            </w:r>
          </w:p>
        </w:tc>
        <w:tc>
          <w:tcPr>
            <w:tcW w:w="810"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521"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44" w:type="dxa"/>
            <w:tcBorders>
              <w:top w:val="nil"/>
              <w:left w:val="nil"/>
              <w:bottom w:val="single" w:color="000000" w:sz="8"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6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861" w:type="dxa"/>
            <w:vMerge w:val="restart"/>
            <w:tcBorders>
              <w:top w:val="nil"/>
              <w:left w:val="nil"/>
              <w:bottom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限价商品房</w:t>
            </w:r>
          </w:p>
        </w:tc>
        <w:tc>
          <w:tcPr>
            <w:tcW w:w="882" w:type="dxa"/>
            <w:tcBorders>
              <w:top w:val="nil"/>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r>
      <w:tr>
        <w:tblPrEx>
          <w:tblLayout w:type="fixed"/>
          <w:tblCellMar>
            <w:top w:w="0" w:type="dxa"/>
            <w:left w:w="108" w:type="dxa"/>
            <w:bottom w:w="0" w:type="dxa"/>
            <w:right w:w="108" w:type="dxa"/>
          </w:tblCellMar>
        </w:tblPrEx>
        <w:trPr>
          <w:cantSplit/>
          <w:trHeight w:val="1134" w:hRule="exact"/>
          <w:jc w:val="center"/>
        </w:trPr>
        <w:tc>
          <w:tcPr>
            <w:tcW w:w="88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8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91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9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79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2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83"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730"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97"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64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861"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728"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810"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521"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76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其中：划拨</w:t>
            </w:r>
          </w:p>
        </w:tc>
        <w:tc>
          <w:tcPr>
            <w:tcW w:w="861" w:type="dxa"/>
            <w:vMerge w:val="continue"/>
            <w:tcBorders>
              <w:top w:val="nil"/>
              <w:left w:val="nil"/>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r>
      <w:tr>
        <w:tblPrEx>
          <w:tblLayout w:type="fixed"/>
          <w:tblCellMar>
            <w:top w:w="0" w:type="dxa"/>
            <w:left w:w="108" w:type="dxa"/>
            <w:bottom w:w="0" w:type="dxa"/>
            <w:right w:w="108" w:type="dxa"/>
          </w:tblCellMar>
        </w:tblPrEx>
        <w:trPr>
          <w:cantSplit/>
          <w:trHeight w:val="1134" w:hRule="exact"/>
          <w:jc w:val="center"/>
        </w:trPr>
        <w:tc>
          <w:tcPr>
            <w:tcW w:w="88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绥化市</w:t>
            </w:r>
          </w:p>
        </w:tc>
        <w:tc>
          <w:tcPr>
            <w:tcW w:w="78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91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9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9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2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83"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30"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97"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64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861"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28"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810"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521"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6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861" w:type="dxa"/>
            <w:tcBorders>
              <w:top w:val="nil"/>
              <w:left w:val="nil"/>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r>
      <w:tr>
        <w:tblPrEx>
          <w:tblLayout w:type="fixed"/>
          <w:tblCellMar>
            <w:top w:w="0" w:type="dxa"/>
            <w:left w:w="108" w:type="dxa"/>
            <w:bottom w:w="0" w:type="dxa"/>
            <w:right w:w="108" w:type="dxa"/>
          </w:tblCellMar>
        </w:tblPrEx>
        <w:trPr>
          <w:cantSplit/>
          <w:trHeight w:val="1134" w:hRule="exact"/>
          <w:jc w:val="center"/>
        </w:trPr>
        <w:tc>
          <w:tcPr>
            <w:tcW w:w="885" w:type="dxa"/>
            <w:tcBorders>
              <w:top w:val="nil"/>
              <w:left w:val="single" w:color="000000" w:sz="8" w:space="0"/>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rPr>
              <w:t>合计</w:t>
            </w:r>
          </w:p>
        </w:tc>
        <w:tc>
          <w:tcPr>
            <w:tcW w:w="786"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4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91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9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lang w:val="en-US" w:eastAsia="zh-CN"/>
              </w:rPr>
            </w:pPr>
            <w:r>
              <w:rPr>
                <w:rFonts w:hint="eastAsia" w:ascii="方正仿宋_GBK" w:hAnsi="方正仿宋_GBK" w:eastAsia="方正仿宋_GBK" w:cs="方正仿宋_GBK"/>
                <w:b w:val="0"/>
                <w:bCs w:val="0"/>
                <w:kern w:val="0"/>
                <w:sz w:val="20"/>
                <w:szCs w:val="20"/>
                <w:lang w:val="en-US" w:eastAsia="zh-CN"/>
              </w:rPr>
              <w:t>0</w:t>
            </w:r>
          </w:p>
        </w:tc>
        <w:tc>
          <w:tcPr>
            <w:tcW w:w="79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lang w:val="en-US" w:eastAsia="zh-CN"/>
              </w:rPr>
            </w:pPr>
            <w:r>
              <w:rPr>
                <w:rFonts w:hint="eastAsia" w:ascii="方正仿宋_GBK" w:hAnsi="方正仿宋_GBK" w:eastAsia="方正仿宋_GBK" w:cs="方正仿宋_GBK"/>
                <w:b w:val="0"/>
                <w:bCs w:val="0"/>
                <w:kern w:val="0"/>
                <w:sz w:val="20"/>
                <w:szCs w:val="20"/>
                <w:lang w:val="en-US" w:eastAsia="zh-CN"/>
              </w:rPr>
              <w:t>0</w:t>
            </w:r>
          </w:p>
        </w:tc>
        <w:tc>
          <w:tcPr>
            <w:tcW w:w="726"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4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lang w:val="en-US" w:eastAsia="zh-CN"/>
              </w:rPr>
            </w:pPr>
            <w:r>
              <w:rPr>
                <w:rFonts w:hint="eastAsia" w:ascii="方正仿宋_GBK" w:hAnsi="方正仿宋_GBK" w:eastAsia="方正仿宋_GBK" w:cs="方正仿宋_GBK"/>
                <w:b w:val="0"/>
                <w:bCs w:val="0"/>
                <w:kern w:val="0"/>
                <w:sz w:val="20"/>
                <w:szCs w:val="20"/>
                <w:lang w:val="en-US" w:eastAsia="zh-CN"/>
              </w:rPr>
              <w:t>0</w:t>
            </w:r>
          </w:p>
        </w:tc>
        <w:tc>
          <w:tcPr>
            <w:tcW w:w="783"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3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lang w:val="en-US" w:eastAsia="zh-CN"/>
              </w:rPr>
            </w:pPr>
            <w:r>
              <w:rPr>
                <w:rFonts w:hint="eastAsia" w:ascii="方正仿宋_GBK" w:hAnsi="方正仿宋_GBK" w:eastAsia="方正仿宋_GBK" w:cs="方正仿宋_GBK"/>
                <w:b w:val="0"/>
                <w:bCs w:val="0"/>
                <w:kern w:val="0"/>
                <w:sz w:val="20"/>
                <w:szCs w:val="20"/>
                <w:lang w:val="en-US" w:eastAsia="zh-CN"/>
              </w:rPr>
              <w:t>0</w:t>
            </w:r>
          </w:p>
        </w:tc>
        <w:tc>
          <w:tcPr>
            <w:tcW w:w="797"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646"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lang w:val="en-US" w:eastAsia="zh-CN"/>
              </w:rPr>
            </w:pPr>
            <w:r>
              <w:rPr>
                <w:rFonts w:hint="eastAsia" w:ascii="方正仿宋_GBK" w:hAnsi="方正仿宋_GBK" w:eastAsia="方正仿宋_GBK" w:cs="方正仿宋_GBK"/>
                <w:b w:val="0"/>
                <w:bCs w:val="0"/>
                <w:kern w:val="0"/>
                <w:sz w:val="20"/>
                <w:szCs w:val="20"/>
                <w:lang w:val="en-US" w:eastAsia="zh-CN"/>
              </w:rPr>
              <w:t>0</w:t>
            </w:r>
          </w:p>
        </w:tc>
        <w:tc>
          <w:tcPr>
            <w:tcW w:w="861"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28"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81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521"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4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6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861"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882" w:type="dxa"/>
            <w:tcBorders>
              <w:top w:val="single" w:color="auto" w:sz="4" w:space="0"/>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imes New Roman‘"/>
          <w:b w:val="0"/>
          <w:bCs w:val="0"/>
          <w:kern w:val="44"/>
          <w:sz w:val="28"/>
          <w:szCs w:val="28"/>
        </w:rPr>
        <w:sectPr>
          <w:pgSz w:w="16838" w:h="11906" w:orient="landscape"/>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2026年度</w:t>
      </w:r>
      <w:r>
        <w:rPr>
          <w:rFonts w:hint="eastAsia" w:ascii="方正小标宋简体" w:hAnsi="方正小标宋简体" w:eastAsia="方正小标宋简体" w:cs="方正小标宋简体"/>
          <w:b w:val="0"/>
          <w:bCs w:val="0"/>
          <w:sz w:val="44"/>
          <w:szCs w:val="44"/>
          <w:lang w:eastAsia="zh-CN"/>
        </w:rPr>
        <w:t>绥化市（市本级）</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住宅用地供应计划</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b w:val="0"/>
          <w:bCs w:val="0"/>
          <w:sz w:val="32"/>
          <w:szCs w:val="32"/>
        </w:rPr>
      </w:pPr>
      <w:r>
        <w:rPr>
          <w:rFonts w:hint="eastAsia" w:ascii="黑体" w:hAnsi="黑体" w:eastAsia="黑体"/>
          <w:b w:val="0"/>
          <w:bCs w:val="0"/>
          <w:sz w:val="32"/>
          <w:szCs w:val="32"/>
        </w:rPr>
        <w:t>一、住宅用地总量和结构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eastAsia="仿宋_GB2312"/>
          <w:b w:val="0"/>
          <w:bCs w:val="0"/>
          <w:sz w:val="32"/>
          <w:szCs w:val="32"/>
        </w:rPr>
      </w:pPr>
      <w:r>
        <w:rPr>
          <w:rFonts w:hint="eastAsia" w:ascii="仿宋_GB2312" w:eastAsia="仿宋_GB2312"/>
          <w:b w:val="0"/>
          <w:bCs w:val="0"/>
          <w:sz w:val="32"/>
          <w:szCs w:val="32"/>
          <w:lang w:val="en-US" w:eastAsia="zh-CN"/>
        </w:rPr>
        <w:t>2026年</w:t>
      </w:r>
      <w:r>
        <w:rPr>
          <w:rFonts w:hint="eastAsia" w:ascii="仿宋_GB2312" w:eastAsia="仿宋_GB2312"/>
          <w:b w:val="0"/>
          <w:bCs w:val="0"/>
          <w:sz w:val="32"/>
          <w:szCs w:val="32"/>
        </w:rPr>
        <w:t>度</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本市（县）住宅用地计划供应</w:t>
      </w: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公顷，其中</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产权住宅用地</w:t>
      </w: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公顷（商品住宅用地</w:t>
      </w: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公顷，共有产权住宅用地</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公顷），租赁住宅用地</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公顷（保障性租赁住宅用地</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公顷，市场化租赁住宅用地</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公顷），其他住宅用地</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公顷</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详见附表1</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b w:val="0"/>
          <w:bCs w:val="0"/>
          <w:sz w:val="32"/>
          <w:szCs w:val="32"/>
        </w:rPr>
      </w:pPr>
      <w:r>
        <w:rPr>
          <w:rFonts w:hint="eastAsia" w:ascii="黑体" w:hAnsi="黑体" w:eastAsia="黑体"/>
          <w:b w:val="0"/>
          <w:bCs w:val="0"/>
          <w:sz w:val="32"/>
          <w:szCs w:val="32"/>
        </w:rPr>
        <w:t>二、住宅用地供应布局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drawing>
          <wp:anchor distT="0" distB="0" distL="114300" distR="114300" simplePos="0" relativeHeight="251660288" behindDoc="0" locked="0" layoutInCell="1" allowOverlap="1">
            <wp:simplePos x="0" y="0"/>
            <wp:positionH relativeFrom="column">
              <wp:posOffset>635</wp:posOffset>
            </wp:positionH>
            <wp:positionV relativeFrom="paragraph">
              <wp:posOffset>2047875</wp:posOffset>
            </wp:positionV>
            <wp:extent cx="5603240" cy="1833245"/>
            <wp:effectExtent l="5080" t="4445" r="11430" b="1016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eastAsia="仿宋_GB2312"/>
          <w:b w:val="0"/>
          <w:bCs w:val="0"/>
          <w:sz w:val="32"/>
          <w:szCs w:val="32"/>
        </w:rPr>
        <w:t>根据人口结构情况、居民住宅需求、房地产市场走势合理确定计划供应的住宅用地规模，</w:t>
      </w:r>
      <w:r>
        <w:rPr>
          <w:rFonts w:hint="eastAsia" w:ascii="仿宋_GB2312" w:eastAsia="仿宋_GB2312"/>
          <w:b w:val="0"/>
          <w:bCs w:val="0"/>
          <w:sz w:val="32"/>
          <w:szCs w:val="32"/>
          <w:lang w:eastAsia="zh-CN"/>
        </w:rPr>
        <w:t>结合近五年居住用地供应平均值</w:t>
      </w:r>
      <w:r>
        <w:rPr>
          <w:rFonts w:hint="eastAsia" w:ascii="仿宋_GB2312" w:eastAsia="仿宋_GB2312"/>
          <w:b w:val="0"/>
          <w:bCs w:val="0"/>
          <w:sz w:val="32"/>
          <w:szCs w:val="32"/>
          <w:lang w:val="en-US" w:eastAsia="zh-CN"/>
        </w:rPr>
        <w:t>9.18</w:t>
      </w:r>
      <w:r>
        <w:rPr>
          <w:rFonts w:hint="eastAsia" w:ascii="仿宋_GB2312" w:eastAsia="仿宋_GB2312"/>
          <w:b w:val="0"/>
          <w:bCs w:val="0"/>
          <w:sz w:val="32"/>
          <w:szCs w:val="32"/>
          <w:lang w:eastAsia="zh-CN"/>
        </w:rPr>
        <w:t>，居住用地控制在</w:t>
      </w:r>
      <w:r>
        <w:rPr>
          <w:rFonts w:hint="eastAsia" w:ascii="仿宋_GB2312" w:eastAsia="仿宋_GB2312"/>
          <w:b w:val="0"/>
          <w:bCs w:val="0"/>
          <w:sz w:val="32"/>
          <w:szCs w:val="32"/>
          <w:lang w:val="en-US" w:eastAsia="zh-CN"/>
        </w:rPr>
        <w:t>9公顷内</w:t>
      </w:r>
      <w:r>
        <w:rPr>
          <w:rFonts w:hint="eastAsia" w:ascii="仿宋_GB2312" w:eastAsia="仿宋_GB2312"/>
          <w:b w:val="0"/>
          <w:bCs w:val="0"/>
          <w:sz w:val="32"/>
          <w:szCs w:val="32"/>
        </w:rPr>
        <w:t>。在区域分布上，</w:t>
      </w:r>
      <w:r>
        <w:rPr>
          <w:rFonts w:hint="eastAsia" w:ascii="仿宋_GB2312" w:eastAsia="仿宋_GB2312"/>
          <w:b w:val="0"/>
          <w:bCs w:val="0"/>
          <w:sz w:val="32"/>
          <w:szCs w:val="32"/>
          <w:lang w:eastAsia="zh-CN"/>
        </w:rPr>
        <w:t>老城区范围</w:t>
      </w:r>
      <w:r>
        <w:rPr>
          <w:rFonts w:hint="eastAsia" w:ascii="仿宋_GB2312" w:eastAsia="仿宋_GB2312"/>
          <w:b w:val="0"/>
          <w:bCs w:val="0"/>
          <w:sz w:val="32"/>
          <w:szCs w:val="32"/>
        </w:rPr>
        <w:t>计划供应</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公顷，</w:t>
      </w:r>
      <w:r>
        <w:rPr>
          <w:rFonts w:hint="eastAsia" w:ascii="仿宋_GB2312" w:eastAsia="仿宋_GB2312"/>
          <w:b w:val="0"/>
          <w:bCs w:val="0"/>
          <w:sz w:val="32"/>
          <w:szCs w:val="32"/>
          <w:lang w:eastAsia="zh-CN"/>
        </w:rPr>
        <w:t>新城区</w:t>
      </w:r>
      <w:r>
        <w:rPr>
          <w:rFonts w:hint="eastAsia" w:ascii="仿宋_GB2312" w:eastAsia="仿宋_GB2312"/>
          <w:b w:val="0"/>
          <w:bCs w:val="0"/>
          <w:sz w:val="32"/>
          <w:szCs w:val="32"/>
        </w:rPr>
        <w:t>计划供应</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rPr>
        <w:t>公顷，达到均衡合理布局，有利于促进职住平衡。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黑体" w:hAnsi="黑体" w:eastAsia="黑体"/>
          <w:b w:val="0"/>
          <w:bCs w:val="0"/>
          <w:sz w:val="32"/>
          <w:szCs w:val="32"/>
        </w:rPr>
      </w:pPr>
      <w:r>
        <w:rPr>
          <w:rFonts w:hint="eastAsia" w:ascii="黑体" w:hAnsi="黑体" w:eastAsia="黑体"/>
          <w:b w:val="0"/>
          <w:bCs w:val="0"/>
          <w:sz w:val="32"/>
          <w:szCs w:val="32"/>
        </w:rPr>
        <w:t>三、保障措施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val="0"/>
          <w:i w:val="0"/>
          <w:iCs w:val="0"/>
          <w:caps w:val="0"/>
          <w:color w:val="444444"/>
          <w:spacing w:val="0"/>
          <w:sz w:val="32"/>
          <w:szCs w:val="32"/>
          <w:shd w:val="clear" w:color="auto" w:fill="FFFFFF"/>
        </w:rPr>
      </w:pPr>
      <w:r>
        <w:rPr>
          <w:rFonts w:hint="eastAsia" w:ascii="仿宋_GB2312" w:eastAsia="仿宋_GB2312"/>
          <w:b w:val="0"/>
          <w:bCs w:val="0"/>
          <w:sz w:val="32"/>
          <w:szCs w:val="32"/>
          <w:lang w:eastAsia="zh-CN"/>
        </w:rPr>
        <w:t>（一）</w:t>
      </w:r>
      <w:r>
        <w:rPr>
          <w:rFonts w:hint="eastAsia" w:ascii="仿宋_GB2312" w:hAnsi="仿宋_GB2312" w:eastAsia="仿宋_GB2312" w:cs="仿宋_GB2312"/>
          <w:b w:val="0"/>
          <w:bCs w:val="0"/>
          <w:i w:val="0"/>
          <w:iCs w:val="0"/>
          <w:caps w:val="0"/>
          <w:color w:val="auto"/>
          <w:spacing w:val="0"/>
          <w:sz w:val="32"/>
          <w:szCs w:val="32"/>
          <w:shd w:val="clear" w:color="auto" w:fill="FFFFFF"/>
        </w:rPr>
        <w:t>市发改委、市住建局、市自然资源局</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、市棚改办</w:t>
      </w:r>
      <w:r>
        <w:rPr>
          <w:rFonts w:hint="eastAsia" w:ascii="仿宋_GB2312" w:hAnsi="仿宋_GB2312" w:eastAsia="仿宋_GB2312" w:cs="仿宋_GB2312"/>
          <w:b w:val="0"/>
          <w:bCs w:val="0"/>
          <w:i w:val="0"/>
          <w:iCs w:val="0"/>
          <w:caps w:val="0"/>
          <w:color w:val="auto"/>
          <w:spacing w:val="0"/>
          <w:sz w:val="32"/>
          <w:szCs w:val="32"/>
          <w:shd w:val="clear" w:color="auto" w:fill="FFFFFF"/>
        </w:rPr>
        <w:t>等相关部门要密切协调配合，共同组织做好</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住宅</w:t>
      </w:r>
      <w:r>
        <w:rPr>
          <w:rFonts w:hint="eastAsia" w:ascii="仿宋_GB2312" w:hAnsi="仿宋_GB2312" w:eastAsia="仿宋_GB2312" w:cs="仿宋_GB2312"/>
          <w:b w:val="0"/>
          <w:bCs w:val="0"/>
          <w:i w:val="0"/>
          <w:iCs w:val="0"/>
          <w:caps w:val="0"/>
          <w:color w:val="auto"/>
          <w:spacing w:val="0"/>
          <w:sz w:val="32"/>
          <w:szCs w:val="32"/>
          <w:shd w:val="clear" w:color="auto" w:fill="FFFFFF"/>
        </w:rPr>
        <w:t>建设项目用地供应的各项工作，积极配合做好供地计划实施工作，加大计划执行过程中的协调力度。</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eastAsia="zh-CN"/>
        </w:rPr>
        <w:t>（二）严格房地产用地调控政策，重点保障城镇住宅及保障性住房用地。继续加大住宅用地供应，积极支持保障性住房和旧城改造项目用地，着力解决城镇中低收入家庭的住房困难；合理把握供地时序，着力改善民生和稳定房地产市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color w:val="auto"/>
          <w:sz w:val="32"/>
          <w:szCs w:val="32"/>
        </w:rPr>
        <w:t>全力支持城市住宅是财政惠民政策设计的一项重要内容，在编制计划过程中所需资金，财政部门</w:t>
      </w:r>
      <w:r>
        <w:rPr>
          <w:rFonts w:hint="eastAsia" w:ascii="仿宋_GB2312" w:hAnsi="仿宋_GB2312" w:eastAsia="仿宋_GB2312" w:cs="仿宋_GB2312"/>
          <w:b w:val="0"/>
          <w:bCs w:val="0"/>
          <w:color w:val="auto"/>
          <w:sz w:val="32"/>
          <w:szCs w:val="32"/>
          <w:lang w:eastAsia="zh-CN"/>
        </w:rPr>
        <w:t>要</w:t>
      </w:r>
      <w:r>
        <w:rPr>
          <w:rFonts w:hint="eastAsia" w:ascii="仿宋_GB2312" w:hAnsi="仿宋_GB2312" w:eastAsia="仿宋_GB2312" w:cs="仿宋_GB2312"/>
          <w:b w:val="0"/>
          <w:bCs w:val="0"/>
          <w:color w:val="auto"/>
          <w:sz w:val="32"/>
          <w:szCs w:val="32"/>
        </w:rPr>
        <w:t>全力保障，确保供地计划顺利实施</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本计划向社会公开，网址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www.landchina.com</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eastAsia="方正小标宋_GBK"/>
          <w:b w:val="0"/>
          <w:bCs w:val="0"/>
          <w:sz w:val="32"/>
          <w:szCs w:val="32"/>
        </w:rPr>
        <w:sectPr>
          <w:footerReference r:id="rId6" w:type="default"/>
          <w:footerReference r:id="rId7" w:type="even"/>
          <w:pgSz w:w="11906" w:h="16838"/>
          <w:pgMar w:top="2098" w:right="1474" w:bottom="1984" w:left="1587" w:header="851" w:footer="992" w:gutter="0"/>
          <w:pgNumType w:fmt="decimal"/>
          <w:cols w:space="720" w:num="1"/>
          <w:docGrid w:type="lines" w:linePitch="312" w:charSpace="0"/>
        </w:sectPr>
      </w:pPr>
      <w:r>
        <w:rPr>
          <w:rFonts w:hint="eastAsia" w:ascii="方正小标宋_GBK" w:eastAsia="方正小标宋_GBK"/>
          <w:b w:val="0"/>
          <w:bCs w:val="0"/>
          <w:sz w:val="32"/>
          <w:szCs w:val="32"/>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default" w:ascii="黑体" w:hAnsi="黑体" w:eastAsia="黑体"/>
          <w:b w:val="0"/>
          <w:bCs w:val="0"/>
          <w:sz w:val="28"/>
          <w:szCs w:val="28"/>
          <w:lang w:val="en-US" w:eastAsia="zh-CN"/>
        </w:rPr>
      </w:pPr>
      <w:r>
        <w:rPr>
          <w:rFonts w:hint="eastAsia" w:ascii="黑体" w:hAnsi="黑体" w:eastAsia="黑体"/>
          <w:b w:val="0"/>
          <w:bCs w:val="0"/>
          <w:sz w:val="28"/>
          <w:szCs w:val="28"/>
          <w:lang w:val="en-US" w:eastAsia="zh-CN"/>
        </w:rPr>
        <w:t>附件5</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2026年度</w:t>
      </w:r>
      <w:r>
        <w:rPr>
          <w:rFonts w:hint="eastAsia" w:ascii="方正小标宋简体" w:hAnsi="方正小标宋简体" w:eastAsia="方正小标宋简体" w:cs="方正小标宋简体"/>
          <w:b w:val="0"/>
          <w:bCs w:val="0"/>
          <w:sz w:val="44"/>
          <w:szCs w:val="44"/>
          <w:lang w:eastAsia="zh-CN"/>
        </w:rPr>
        <w:t>绥化</w:t>
      </w:r>
      <w:r>
        <w:rPr>
          <w:rFonts w:hint="eastAsia" w:ascii="方正小标宋简体" w:hAnsi="方正小标宋简体" w:eastAsia="方正小标宋简体" w:cs="方正小标宋简体"/>
          <w:b w:val="0"/>
          <w:bCs w:val="0"/>
          <w:sz w:val="44"/>
          <w:szCs w:val="44"/>
        </w:rPr>
        <w:t>市（</w:t>
      </w:r>
      <w:r>
        <w:rPr>
          <w:rFonts w:hint="eastAsia" w:ascii="方正小标宋简体" w:hAnsi="方正小标宋简体" w:eastAsia="方正小标宋简体" w:cs="方正小标宋简体"/>
          <w:b w:val="0"/>
          <w:bCs w:val="0"/>
          <w:sz w:val="44"/>
          <w:szCs w:val="44"/>
          <w:lang w:eastAsia="zh-CN"/>
        </w:rPr>
        <w:t>市本级</w:t>
      </w:r>
      <w:r>
        <w:rPr>
          <w:rFonts w:hint="eastAsia" w:ascii="方正小标宋简体" w:hAnsi="方正小标宋简体" w:eastAsia="方正小标宋简体" w:cs="方正小标宋简体"/>
          <w:b w:val="0"/>
          <w:bCs w:val="0"/>
          <w:sz w:val="44"/>
          <w:szCs w:val="44"/>
        </w:rPr>
        <w:t>）住宅用地供应计划表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both"/>
        <w:textAlignment w:val="auto"/>
        <w:rPr>
          <w:rFonts w:hint="eastAsia" w:ascii="方正楷体_GBK" w:hAnsi="方正楷体_GBK" w:eastAsia="方正楷体_GBK" w:cs="方正楷体_GBK"/>
          <w:b w:val="0"/>
          <w:bCs w:val="0"/>
          <w:sz w:val="21"/>
          <w:szCs w:val="21"/>
        </w:rPr>
      </w:pPr>
      <w:r>
        <w:rPr>
          <w:rFonts w:hint="eastAsia" w:ascii="方正楷体_GBK" w:hAnsi="方正楷体_GBK" w:eastAsia="方正楷体_GBK" w:cs="方正楷体_GBK"/>
          <w:b w:val="0"/>
          <w:bCs w:val="0"/>
          <w:sz w:val="21"/>
          <w:szCs w:val="21"/>
        </w:rPr>
        <w:t>单位：公顷</w:t>
      </w:r>
    </w:p>
    <w:tbl>
      <w:tblPr>
        <w:tblStyle w:val="4"/>
        <w:tblW w:w="13891" w:type="dxa"/>
        <w:tblInd w:w="95" w:type="dxa"/>
        <w:tblLayout w:type="fixed"/>
        <w:tblCellMar>
          <w:top w:w="0" w:type="dxa"/>
          <w:left w:w="108" w:type="dxa"/>
          <w:bottom w:w="0" w:type="dxa"/>
          <w:right w:w="108" w:type="dxa"/>
        </w:tblCellMar>
      </w:tblPr>
      <w:tblGrid>
        <w:gridCol w:w="1455"/>
        <w:gridCol w:w="1455"/>
        <w:gridCol w:w="1455"/>
        <w:gridCol w:w="1455"/>
        <w:gridCol w:w="1455"/>
        <w:gridCol w:w="1558"/>
        <w:gridCol w:w="1440"/>
        <w:gridCol w:w="1367"/>
        <w:gridCol w:w="2251"/>
      </w:tblGrid>
      <w:tr>
        <w:tblPrEx>
          <w:tblLayout w:type="fixed"/>
        </w:tblPrEx>
        <w:trPr>
          <w:trHeight w:val="375" w:hRule="atLeast"/>
        </w:trPr>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市（县）</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总量</w:t>
            </w:r>
          </w:p>
        </w:tc>
        <w:tc>
          <w:tcPr>
            <w:tcW w:w="436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产权住宅用地</w:t>
            </w:r>
          </w:p>
        </w:tc>
        <w:tc>
          <w:tcPr>
            <w:tcW w:w="436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租赁住宅用地</w:t>
            </w:r>
          </w:p>
        </w:tc>
        <w:tc>
          <w:tcPr>
            <w:tcW w:w="225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其他住宅用地</w:t>
            </w:r>
          </w:p>
        </w:tc>
      </w:tr>
      <w:tr>
        <w:tblPrEx>
          <w:tblLayout w:type="fixed"/>
          <w:tblCellMar>
            <w:top w:w="0" w:type="dxa"/>
            <w:left w:w="108" w:type="dxa"/>
            <w:bottom w:w="0" w:type="dxa"/>
            <w:right w:w="108" w:type="dxa"/>
          </w:tblCellMar>
        </w:tblPrEx>
        <w:trPr>
          <w:trHeight w:val="361" w:hRule="atLeast"/>
        </w:trPr>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商品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住宅用地</w:t>
            </w:r>
          </w:p>
        </w:tc>
        <w:tc>
          <w:tcPr>
            <w:tcW w:w="145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共有产权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住宅用地</w:t>
            </w:r>
          </w:p>
        </w:tc>
        <w:tc>
          <w:tcPr>
            <w:tcW w:w="145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小计</w:t>
            </w:r>
          </w:p>
        </w:tc>
        <w:tc>
          <w:tcPr>
            <w:tcW w:w="155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保障性租赁住宅用地</w:t>
            </w:r>
          </w:p>
        </w:tc>
        <w:tc>
          <w:tcPr>
            <w:tcW w:w="144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市场化租赁住宅用地</w:t>
            </w:r>
          </w:p>
        </w:tc>
        <w:tc>
          <w:tcPr>
            <w:tcW w:w="136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小计</w:t>
            </w:r>
          </w:p>
        </w:tc>
        <w:tc>
          <w:tcPr>
            <w:tcW w:w="22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r>
      <w:tr>
        <w:tblPrEx>
          <w:tblLayout w:type="fixed"/>
          <w:tblCellMar>
            <w:top w:w="0" w:type="dxa"/>
            <w:left w:w="108" w:type="dxa"/>
            <w:bottom w:w="0" w:type="dxa"/>
            <w:right w:w="108" w:type="dxa"/>
          </w:tblCellMar>
        </w:tblPrEx>
        <w:trPr>
          <w:trHeight w:val="361" w:hRule="atLeast"/>
        </w:trPr>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5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4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3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22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r>
      <w:tr>
        <w:tblPrEx>
          <w:tblLayout w:type="fixed"/>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①</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②</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③</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④</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⑤</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⑥</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⑦</w:t>
            </w:r>
          </w:p>
        </w:tc>
        <w:tc>
          <w:tcPr>
            <w:tcW w:w="22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⑧</w:t>
            </w:r>
          </w:p>
        </w:tc>
      </w:tr>
      <w:tr>
        <w:tblPrEx>
          <w:tblLayout w:type="fixed"/>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合计</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22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r>
      <w:tr>
        <w:tblPrEx>
          <w:tblLayout w:type="fixed"/>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市本级</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22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r>
      <w:tr>
        <w:tblPrEx>
          <w:tblLayout w:type="fixed"/>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22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sz w:val="21"/>
          <w:szCs w:val="21"/>
        </w:rPr>
      </w:pPr>
      <w:r>
        <w:rPr>
          <w:rFonts w:hint="eastAsia" w:ascii="方正楷体_GBK" w:hAnsi="方正楷体_GBK" w:eastAsia="方正楷体_GBK" w:cs="方正楷体_GBK"/>
          <w:b w:val="0"/>
          <w:bCs w:val="0"/>
          <w:sz w:val="21"/>
          <w:szCs w:val="21"/>
        </w:rPr>
        <w:t>注：1.本示范文本及样式表格，是对《国土资源部关于印发</w:t>
      </w:r>
      <w:r>
        <w:rPr>
          <w:rFonts w:hint="eastAsia" w:ascii="方正楷体_GBK" w:hAnsi="方正楷体_GBK" w:eastAsia="方正楷体_GBK" w:cs="方正楷体_GBK"/>
          <w:b w:val="0"/>
          <w:bCs w:val="0"/>
          <w:sz w:val="21"/>
          <w:szCs w:val="21"/>
          <w:lang w:eastAsia="zh-CN"/>
        </w:rPr>
        <w:t>〈</w:t>
      </w:r>
      <w:r>
        <w:rPr>
          <w:rFonts w:hint="eastAsia" w:ascii="方正楷体_GBK" w:hAnsi="方正楷体_GBK" w:eastAsia="方正楷体_GBK" w:cs="方正楷体_GBK"/>
          <w:b w:val="0"/>
          <w:bCs w:val="0"/>
          <w:sz w:val="21"/>
          <w:szCs w:val="21"/>
        </w:rPr>
        <w:t>国有建设用地供应计划编制规范</w:t>
      </w:r>
      <w:r>
        <w:rPr>
          <w:rFonts w:hint="eastAsia" w:ascii="方正楷体_GBK" w:hAnsi="方正楷体_GBK" w:eastAsia="方正楷体_GBK" w:cs="方正楷体_GBK"/>
          <w:b w:val="0"/>
          <w:bCs w:val="0"/>
          <w:sz w:val="21"/>
          <w:szCs w:val="21"/>
          <w:lang w:eastAsia="zh-CN"/>
        </w:rPr>
        <w:t>〉</w:t>
      </w:r>
      <w:r>
        <w:rPr>
          <w:rFonts w:hint="eastAsia" w:ascii="方正楷体_GBK" w:hAnsi="方正楷体_GBK" w:eastAsia="方正楷体_GBK" w:cs="方正楷体_GBK"/>
          <w:b w:val="0"/>
          <w:bCs w:val="0"/>
          <w:sz w:val="21"/>
          <w:szCs w:val="21"/>
        </w:rPr>
        <w:t>（试行）的通知》（国土资发〔2010〕117号）的补充，住宅用地的土地性质为国有建设用地。</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sz w:val="21"/>
          <w:szCs w:val="21"/>
        </w:rPr>
      </w:pPr>
      <w:r>
        <w:rPr>
          <w:rFonts w:hint="eastAsia" w:ascii="方正楷体_GBK" w:hAnsi="方正楷体_GBK" w:eastAsia="方正楷体_GBK" w:cs="方正楷体_GBK"/>
          <w:b w:val="0"/>
          <w:bCs w:val="0"/>
          <w:sz w:val="21"/>
          <w:szCs w:val="21"/>
        </w:rPr>
        <w:t>2.住宅用地类型按照产权性质，划分为产权住宅用地、租赁住宅用地、其他住宅用地。其中，其他住宅用地是指无法归类到前两大类的住宅用地，如回迁安置房用地等。</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sz w:val="21"/>
          <w:szCs w:val="21"/>
          <w:lang w:eastAsia="zh-CN"/>
        </w:rPr>
      </w:pPr>
      <w:r>
        <w:rPr>
          <w:rFonts w:hint="eastAsia" w:ascii="方正楷体_GBK" w:hAnsi="方正楷体_GBK" w:eastAsia="方正楷体_GBK" w:cs="方正楷体_GBK"/>
          <w:b w:val="0"/>
          <w:bCs w:val="0"/>
          <w:sz w:val="21"/>
          <w:szCs w:val="21"/>
        </w:rPr>
        <w:t>3.租赁住宅用地分为保障性租赁住宅用地和市场化租赁住宅用地，其中保障性租赁住宅用地包括用于建设公租房等带有保障性质的租赁住宅用地，其余为市场化租赁住宅用地。在土地来源上，包括通过集中建设或者配建方式新增供应的土地，不含通过改建等方式盘活的存量土地。</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sz w:val="21"/>
          <w:szCs w:val="21"/>
          <w:lang w:val="en-US" w:eastAsia="zh-CN"/>
        </w:rPr>
      </w:pPr>
      <w:r>
        <w:rPr>
          <w:rFonts w:hint="eastAsia" w:ascii="方正楷体_GBK" w:hAnsi="方正楷体_GBK" w:eastAsia="方正楷体_GBK" w:cs="方正楷体_GBK"/>
          <w:b w:val="0"/>
          <w:bCs w:val="0"/>
          <w:sz w:val="21"/>
          <w:szCs w:val="21"/>
        </w:rPr>
        <w:t>4.大城市供应的租赁住宅用地一般不低于住宅用地总面积的10%。即④=⑤+</w:t>
      </w:r>
      <w:r>
        <w:rPr>
          <w:rFonts w:hint="eastAsia" w:ascii="方正楷体_GBK" w:hAnsi="方正楷体_GBK" w:eastAsia="方正楷体_GBK" w:cs="方正楷体_GBK"/>
          <w:b w:val="0"/>
          <w:bCs w:val="0"/>
          <w:sz w:val="21"/>
          <w:szCs w:val="21"/>
          <w:lang w:eastAsia="zh-CN"/>
        </w:rPr>
        <w:t>⑥</w:t>
      </w:r>
    </w:p>
    <w:sectPr>
      <w:pgSz w:w="16838" w:h="11906" w:orient="landscape"/>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ODEwY2E0ZDFkMzlkZjdhNWM0NzcxOWNkNTEyYzQifQ=="/>
  </w:docVars>
  <w:rsids>
    <w:rsidRoot w:val="7EBA4679"/>
    <w:rsid w:val="00537C28"/>
    <w:rsid w:val="006336EF"/>
    <w:rsid w:val="00757B9E"/>
    <w:rsid w:val="008203D9"/>
    <w:rsid w:val="00997D30"/>
    <w:rsid w:val="00B20DF2"/>
    <w:rsid w:val="012A6BDB"/>
    <w:rsid w:val="014207CE"/>
    <w:rsid w:val="01571419"/>
    <w:rsid w:val="026F2F84"/>
    <w:rsid w:val="032633D2"/>
    <w:rsid w:val="03653EFA"/>
    <w:rsid w:val="03DF16E7"/>
    <w:rsid w:val="04020E77"/>
    <w:rsid w:val="040C25C7"/>
    <w:rsid w:val="045D1075"/>
    <w:rsid w:val="06A32A1C"/>
    <w:rsid w:val="06C92CC5"/>
    <w:rsid w:val="06E96768"/>
    <w:rsid w:val="07100621"/>
    <w:rsid w:val="07A5520D"/>
    <w:rsid w:val="07A73414"/>
    <w:rsid w:val="07A87F29"/>
    <w:rsid w:val="07C17B6D"/>
    <w:rsid w:val="08BF5E5A"/>
    <w:rsid w:val="09D516AE"/>
    <w:rsid w:val="0A8F3F52"/>
    <w:rsid w:val="0B974E6D"/>
    <w:rsid w:val="0C5222BF"/>
    <w:rsid w:val="0C6D5648"/>
    <w:rsid w:val="0C871385"/>
    <w:rsid w:val="0CFE2E95"/>
    <w:rsid w:val="0D5C636E"/>
    <w:rsid w:val="0DA16476"/>
    <w:rsid w:val="0E742F0D"/>
    <w:rsid w:val="0ED5316B"/>
    <w:rsid w:val="0F53635B"/>
    <w:rsid w:val="10484987"/>
    <w:rsid w:val="119F4A7B"/>
    <w:rsid w:val="128B4FFF"/>
    <w:rsid w:val="1301113B"/>
    <w:rsid w:val="13711E2C"/>
    <w:rsid w:val="13F84916"/>
    <w:rsid w:val="143F2545"/>
    <w:rsid w:val="14586C61"/>
    <w:rsid w:val="14604C12"/>
    <w:rsid w:val="148B12E6"/>
    <w:rsid w:val="149503B7"/>
    <w:rsid w:val="14B118BC"/>
    <w:rsid w:val="14E54E0B"/>
    <w:rsid w:val="160B6100"/>
    <w:rsid w:val="17233A58"/>
    <w:rsid w:val="17614581"/>
    <w:rsid w:val="17FD24FB"/>
    <w:rsid w:val="189F1804"/>
    <w:rsid w:val="1A8B0292"/>
    <w:rsid w:val="1AD75285"/>
    <w:rsid w:val="1BB51C0A"/>
    <w:rsid w:val="1BEA548C"/>
    <w:rsid w:val="1CCC554A"/>
    <w:rsid w:val="1D2C3497"/>
    <w:rsid w:val="1E122A78"/>
    <w:rsid w:val="1EE02886"/>
    <w:rsid w:val="1EFD4B6F"/>
    <w:rsid w:val="1F862AB0"/>
    <w:rsid w:val="20474C5B"/>
    <w:rsid w:val="21AB746C"/>
    <w:rsid w:val="21ED1832"/>
    <w:rsid w:val="228D6B72"/>
    <w:rsid w:val="22A04CDC"/>
    <w:rsid w:val="22F7364D"/>
    <w:rsid w:val="246A716A"/>
    <w:rsid w:val="24973CD7"/>
    <w:rsid w:val="25891872"/>
    <w:rsid w:val="263C68E5"/>
    <w:rsid w:val="2680328A"/>
    <w:rsid w:val="279A10DF"/>
    <w:rsid w:val="27FF877E"/>
    <w:rsid w:val="28015818"/>
    <w:rsid w:val="284B0262"/>
    <w:rsid w:val="28B4235C"/>
    <w:rsid w:val="28F02083"/>
    <w:rsid w:val="29422464"/>
    <w:rsid w:val="29CF77BC"/>
    <w:rsid w:val="29F3375E"/>
    <w:rsid w:val="2A186697"/>
    <w:rsid w:val="2A1E1ABF"/>
    <w:rsid w:val="2AE15688"/>
    <w:rsid w:val="2BB84C5F"/>
    <w:rsid w:val="2CB27900"/>
    <w:rsid w:val="2D012636"/>
    <w:rsid w:val="2D3C0F32"/>
    <w:rsid w:val="2D510EC7"/>
    <w:rsid w:val="2D8868B3"/>
    <w:rsid w:val="2D99461C"/>
    <w:rsid w:val="2DBF5638"/>
    <w:rsid w:val="2E2B796A"/>
    <w:rsid w:val="2E422F06"/>
    <w:rsid w:val="2E4C7D44"/>
    <w:rsid w:val="2E825AD2"/>
    <w:rsid w:val="2F653AA7"/>
    <w:rsid w:val="2FA9134F"/>
    <w:rsid w:val="31795E6E"/>
    <w:rsid w:val="32394807"/>
    <w:rsid w:val="32A35C25"/>
    <w:rsid w:val="32E732E5"/>
    <w:rsid w:val="33093FF2"/>
    <w:rsid w:val="331704BD"/>
    <w:rsid w:val="33222A41"/>
    <w:rsid w:val="335D0E90"/>
    <w:rsid w:val="33A31D51"/>
    <w:rsid w:val="33AC31B5"/>
    <w:rsid w:val="33E32A95"/>
    <w:rsid w:val="35140A35"/>
    <w:rsid w:val="360311CD"/>
    <w:rsid w:val="36330A12"/>
    <w:rsid w:val="36413AA3"/>
    <w:rsid w:val="36FB00F6"/>
    <w:rsid w:val="383B4C4E"/>
    <w:rsid w:val="38481119"/>
    <w:rsid w:val="39AF4F7C"/>
    <w:rsid w:val="3A52627F"/>
    <w:rsid w:val="3A880C39"/>
    <w:rsid w:val="3AB807D8"/>
    <w:rsid w:val="3ACC6031"/>
    <w:rsid w:val="3B524E69"/>
    <w:rsid w:val="3B9D873F"/>
    <w:rsid w:val="3BFC64A2"/>
    <w:rsid w:val="3C0D6901"/>
    <w:rsid w:val="3C0E2679"/>
    <w:rsid w:val="3C16554F"/>
    <w:rsid w:val="3C65673D"/>
    <w:rsid w:val="3CA2473E"/>
    <w:rsid w:val="3DB06606"/>
    <w:rsid w:val="3E1321C9"/>
    <w:rsid w:val="3ED7E890"/>
    <w:rsid w:val="3F073ADC"/>
    <w:rsid w:val="3F2D7C6D"/>
    <w:rsid w:val="3F3E1208"/>
    <w:rsid w:val="3F584C00"/>
    <w:rsid w:val="3FC125BD"/>
    <w:rsid w:val="3FEE4053"/>
    <w:rsid w:val="3FFD3DA7"/>
    <w:rsid w:val="401E4E70"/>
    <w:rsid w:val="40E165AE"/>
    <w:rsid w:val="42213A90"/>
    <w:rsid w:val="42A2493F"/>
    <w:rsid w:val="43A871D3"/>
    <w:rsid w:val="43E048FB"/>
    <w:rsid w:val="4484172B"/>
    <w:rsid w:val="44DC50C3"/>
    <w:rsid w:val="45DB181E"/>
    <w:rsid w:val="481564CD"/>
    <w:rsid w:val="482F3F10"/>
    <w:rsid w:val="4839282C"/>
    <w:rsid w:val="48E94533"/>
    <w:rsid w:val="49BA799D"/>
    <w:rsid w:val="4C1710D6"/>
    <w:rsid w:val="4CB07C42"/>
    <w:rsid w:val="4D0A0784"/>
    <w:rsid w:val="4DA66ACF"/>
    <w:rsid w:val="4E9467A7"/>
    <w:rsid w:val="4F072754"/>
    <w:rsid w:val="4F7B362F"/>
    <w:rsid w:val="52AA3C06"/>
    <w:rsid w:val="52CD6993"/>
    <w:rsid w:val="53D96504"/>
    <w:rsid w:val="54FE4BE1"/>
    <w:rsid w:val="552B174F"/>
    <w:rsid w:val="55472A2C"/>
    <w:rsid w:val="562B4FB5"/>
    <w:rsid w:val="56317CEA"/>
    <w:rsid w:val="56345768"/>
    <w:rsid w:val="56CD4515"/>
    <w:rsid w:val="56D46542"/>
    <w:rsid w:val="56DF6C95"/>
    <w:rsid w:val="56FEC02F"/>
    <w:rsid w:val="57680A38"/>
    <w:rsid w:val="57696AB5"/>
    <w:rsid w:val="57BA2CC0"/>
    <w:rsid w:val="57F4479F"/>
    <w:rsid w:val="580257F3"/>
    <w:rsid w:val="58112E7E"/>
    <w:rsid w:val="583B614D"/>
    <w:rsid w:val="58EF5583"/>
    <w:rsid w:val="58FF44B7"/>
    <w:rsid w:val="594D6137"/>
    <w:rsid w:val="5A114B4F"/>
    <w:rsid w:val="5A92474A"/>
    <w:rsid w:val="5AED00F4"/>
    <w:rsid w:val="5B0F7D33"/>
    <w:rsid w:val="5B2F6F83"/>
    <w:rsid w:val="5B5F266B"/>
    <w:rsid w:val="5BF175E7"/>
    <w:rsid w:val="5BFE795D"/>
    <w:rsid w:val="5BFF4CAF"/>
    <w:rsid w:val="5C06162C"/>
    <w:rsid w:val="5C335AB8"/>
    <w:rsid w:val="5C6E8037"/>
    <w:rsid w:val="5CF85D94"/>
    <w:rsid w:val="5D395350"/>
    <w:rsid w:val="5D6F3A56"/>
    <w:rsid w:val="5D7F99B1"/>
    <w:rsid w:val="5DDE2503"/>
    <w:rsid w:val="5DEBC849"/>
    <w:rsid w:val="5EBF9F52"/>
    <w:rsid w:val="5F5EAEE0"/>
    <w:rsid w:val="5F7C5C9A"/>
    <w:rsid w:val="5F9C6F30"/>
    <w:rsid w:val="5FB10CB0"/>
    <w:rsid w:val="610C198B"/>
    <w:rsid w:val="614D22A1"/>
    <w:rsid w:val="6373359C"/>
    <w:rsid w:val="63AA3113"/>
    <w:rsid w:val="63C7091D"/>
    <w:rsid w:val="642D0BA5"/>
    <w:rsid w:val="64B950FF"/>
    <w:rsid w:val="64E75692"/>
    <w:rsid w:val="65363F24"/>
    <w:rsid w:val="659A04FE"/>
    <w:rsid w:val="65B51675"/>
    <w:rsid w:val="66F416B5"/>
    <w:rsid w:val="67896ED4"/>
    <w:rsid w:val="68203394"/>
    <w:rsid w:val="68AB77E3"/>
    <w:rsid w:val="68C42F08"/>
    <w:rsid w:val="68C7CB53"/>
    <w:rsid w:val="692C3292"/>
    <w:rsid w:val="695D4175"/>
    <w:rsid w:val="69855479"/>
    <w:rsid w:val="6A3D3FA6"/>
    <w:rsid w:val="6A835E5D"/>
    <w:rsid w:val="6AA71193"/>
    <w:rsid w:val="6BBC6684"/>
    <w:rsid w:val="6C2471CC"/>
    <w:rsid w:val="6C6972D4"/>
    <w:rsid w:val="6C8163CC"/>
    <w:rsid w:val="6CDF2297"/>
    <w:rsid w:val="6CEA3A01"/>
    <w:rsid w:val="6D643DFF"/>
    <w:rsid w:val="6E146DCC"/>
    <w:rsid w:val="6EA91C0A"/>
    <w:rsid w:val="6EBA5BC5"/>
    <w:rsid w:val="6F410095"/>
    <w:rsid w:val="6F665494"/>
    <w:rsid w:val="6F6D2329"/>
    <w:rsid w:val="6F7CED3C"/>
    <w:rsid w:val="6FC62348"/>
    <w:rsid w:val="6FCFEA88"/>
    <w:rsid w:val="6FDAF104"/>
    <w:rsid w:val="6FEF9892"/>
    <w:rsid w:val="70231F05"/>
    <w:rsid w:val="705B6F34"/>
    <w:rsid w:val="714F6A99"/>
    <w:rsid w:val="71DE7E1D"/>
    <w:rsid w:val="74F51705"/>
    <w:rsid w:val="752C060F"/>
    <w:rsid w:val="757A9FC6"/>
    <w:rsid w:val="75AF5CA9"/>
    <w:rsid w:val="75B82733"/>
    <w:rsid w:val="75C537CD"/>
    <w:rsid w:val="75CF63FA"/>
    <w:rsid w:val="7661D905"/>
    <w:rsid w:val="76EE465E"/>
    <w:rsid w:val="76F53C3E"/>
    <w:rsid w:val="77AEFD80"/>
    <w:rsid w:val="77F72957"/>
    <w:rsid w:val="77FAD763"/>
    <w:rsid w:val="77FF7E1F"/>
    <w:rsid w:val="783A627F"/>
    <w:rsid w:val="784C5CC1"/>
    <w:rsid w:val="78ED35CF"/>
    <w:rsid w:val="79F3655E"/>
    <w:rsid w:val="7A274D60"/>
    <w:rsid w:val="7A4921BE"/>
    <w:rsid w:val="7B53CF5D"/>
    <w:rsid w:val="7B5E5D70"/>
    <w:rsid w:val="7B9A6AA2"/>
    <w:rsid w:val="7BAF0EF2"/>
    <w:rsid w:val="7BDF58CE"/>
    <w:rsid w:val="7BE777B5"/>
    <w:rsid w:val="7C9A1266"/>
    <w:rsid w:val="7CDF2EE7"/>
    <w:rsid w:val="7CEA7F18"/>
    <w:rsid w:val="7CEFA1A3"/>
    <w:rsid w:val="7CFD0B8B"/>
    <w:rsid w:val="7D7D04EA"/>
    <w:rsid w:val="7DCC725B"/>
    <w:rsid w:val="7DDF6B24"/>
    <w:rsid w:val="7E130E4E"/>
    <w:rsid w:val="7EBA4679"/>
    <w:rsid w:val="7EC64112"/>
    <w:rsid w:val="7ED93E46"/>
    <w:rsid w:val="7EDE3B51"/>
    <w:rsid w:val="7EF73765"/>
    <w:rsid w:val="7F24432E"/>
    <w:rsid w:val="7F6D00C8"/>
    <w:rsid w:val="7FC39FA2"/>
    <w:rsid w:val="7FCB3013"/>
    <w:rsid w:val="7FDDDE26"/>
    <w:rsid w:val="7FF548C5"/>
    <w:rsid w:val="9FF91ED9"/>
    <w:rsid w:val="BBE9D112"/>
    <w:rsid w:val="BDED7115"/>
    <w:rsid w:val="BF6547D4"/>
    <w:rsid w:val="BFDB198E"/>
    <w:rsid w:val="C74B212B"/>
    <w:rsid w:val="D6FDC0EB"/>
    <w:rsid w:val="DBEB9A26"/>
    <w:rsid w:val="DDDF822D"/>
    <w:rsid w:val="DE5F4EA8"/>
    <w:rsid w:val="DEBFD077"/>
    <w:rsid w:val="DEDE32AD"/>
    <w:rsid w:val="DF9F8613"/>
    <w:rsid w:val="DFDB7699"/>
    <w:rsid w:val="DFF0AFAF"/>
    <w:rsid w:val="DFF33CCA"/>
    <w:rsid w:val="DFFF246C"/>
    <w:rsid w:val="E77F3CD1"/>
    <w:rsid w:val="EBCFD34B"/>
    <w:rsid w:val="ECBF7A02"/>
    <w:rsid w:val="EEBBA354"/>
    <w:rsid w:val="EEEE36A8"/>
    <w:rsid w:val="EEEF0D10"/>
    <w:rsid w:val="EFDFF93F"/>
    <w:rsid w:val="EFE76E22"/>
    <w:rsid w:val="F3F08819"/>
    <w:rsid w:val="F6D0D5E4"/>
    <w:rsid w:val="F73BA40F"/>
    <w:rsid w:val="F73F3258"/>
    <w:rsid w:val="F7BB96C4"/>
    <w:rsid w:val="F8FF1B86"/>
    <w:rsid w:val="F9D52410"/>
    <w:rsid w:val="FAEF9BAA"/>
    <w:rsid w:val="FBBA9C66"/>
    <w:rsid w:val="FBF5100D"/>
    <w:rsid w:val="FBF7FD1F"/>
    <w:rsid w:val="FCAFA8E3"/>
    <w:rsid w:val="FCEBF20D"/>
    <w:rsid w:val="FDD652A9"/>
    <w:rsid w:val="FDE7F01A"/>
    <w:rsid w:val="FDEDEEDF"/>
    <w:rsid w:val="FDF67070"/>
    <w:rsid w:val="FEF7B9BC"/>
    <w:rsid w:val="FEFF5CEB"/>
    <w:rsid w:val="FF2F55C2"/>
    <w:rsid w:val="FF6F68E5"/>
    <w:rsid w:val="FF7815B6"/>
    <w:rsid w:val="FF7BCBE1"/>
    <w:rsid w:val="FF8E458D"/>
    <w:rsid w:val="FFB71A23"/>
    <w:rsid w:val="FFD9A23B"/>
    <w:rsid w:val="FFFFC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en-US" altLang="zh-CN"/>
              <a:t>2026</a:t>
            </a:r>
            <a:r>
              <a:rPr altLang="en-US"/>
              <a:t>年各用途供应占比图</a:t>
            </a:r>
            <a:endParaRPr altLang="en-US"/>
          </a:p>
        </c:rich>
      </c:tx>
      <c:layout/>
      <c:overlay val="0"/>
      <c:spPr>
        <a:noFill/>
        <a:ln>
          <a:noFill/>
        </a:ln>
        <a:effectLst/>
      </c:spPr>
    </c:title>
    <c:autoTitleDeleted val="0"/>
    <c:plotArea>
      <c:layout/>
      <c:barChart>
        <c:barDir val="col"/>
        <c:grouping val="clustered"/>
        <c:varyColors val="0"/>
        <c:ser>
          <c:idx val="0"/>
          <c:order val="0"/>
          <c:tx>
            <c:strRef>
              <c:f>[工作簿1]Sheet1!$B$1</c:f>
              <c:strCache>
                <c:ptCount val="1"/>
                <c:pt idx="0">
                  <c:v>面积 (公顷)</c:v>
                </c:pt>
              </c:strCache>
            </c:strRef>
          </c:tx>
          <c:spPr>
            <a:solidFill>
              <a:srgbClr val="4874CB"/>
            </a:solidFill>
            <a:ln>
              <a:noFill/>
            </a:ln>
            <a:effectLst/>
          </c:spPr>
          <c:invertIfNegative val="0"/>
          <c:dLbls>
            <c:delete val="1"/>
          </c:dLbls>
          <c:cat>
            <c:strRef>
              <c:f>[工作簿1]Sheet1!$A$2:$A$8</c:f>
              <c:strCache>
                <c:ptCount val="7"/>
                <c:pt idx="0">
                  <c:v>商业用地</c:v>
                </c:pt>
                <c:pt idx="1">
                  <c:v>工矿仓储用地</c:v>
                </c:pt>
                <c:pt idx="2">
                  <c:v>住宅用地</c:v>
                </c:pt>
                <c:pt idx="3">
                  <c:v>公共管理与公共服务用地</c:v>
                </c:pt>
                <c:pt idx="4">
                  <c:v>交通运输用地</c:v>
                </c:pt>
                <c:pt idx="5">
                  <c:v>水域及水利设施用地</c:v>
                </c:pt>
                <c:pt idx="6">
                  <c:v>特殊用地</c:v>
                </c:pt>
              </c:strCache>
            </c:strRef>
          </c:cat>
          <c:val>
            <c:numRef>
              <c:f>[工作簿1]Sheet1!$B$2:$B$8</c:f>
              <c:numCache>
                <c:formatCode>General</c:formatCode>
                <c:ptCount val="7"/>
                <c:pt idx="0">
                  <c:v>10</c:v>
                </c:pt>
                <c:pt idx="1">
                  <c:v>80</c:v>
                </c:pt>
                <c:pt idx="2">
                  <c:v>9</c:v>
                </c:pt>
                <c:pt idx="3">
                  <c:v>30</c:v>
                </c:pt>
                <c:pt idx="4">
                  <c:v>185</c:v>
                </c:pt>
                <c:pt idx="5">
                  <c:v>5</c:v>
                </c:pt>
                <c:pt idx="6">
                  <c:v>5</c:v>
                </c:pt>
              </c:numCache>
            </c:numRef>
          </c:val>
        </c:ser>
        <c:dLbls>
          <c:showLegendKey val="0"/>
          <c:showVal val="0"/>
          <c:showCatName val="0"/>
          <c:showSerName val="0"/>
          <c:showPercent val="0"/>
          <c:showBubbleSize val="0"/>
        </c:dLbls>
        <c:gapWidth val="219"/>
        <c:overlap val="-27"/>
        <c:axId val="237036939"/>
        <c:axId val="470376875"/>
      </c:barChart>
      <c:lineChart>
        <c:grouping val="standard"/>
        <c:varyColors val="0"/>
        <c:ser>
          <c:idx val="1"/>
          <c:order val="1"/>
          <c:tx>
            <c:strRef>
              <c:f>[工作簿1]Sheet1!$C$1</c:f>
              <c:strCache>
                <c:ptCount val="1"/>
                <c:pt idx="0">
                  <c:v>占比 (%)</c:v>
                </c:pt>
              </c:strCache>
            </c:strRef>
          </c:tx>
          <c:spPr>
            <a:ln w="28575" cap="rnd">
              <a:solidFill>
                <a:srgbClr val="EE822F"/>
              </a:solidFill>
              <a:round/>
            </a:ln>
            <a:effectLst/>
          </c:spPr>
          <c:marker>
            <c:symbol val="none"/>
          </c:marker>
          <c:dLbls>
            <c:delete val="1"/>
          </c:dLbls>
          <c:cat>
            <c:strRef>
              <c:f>[工作簿1]Sheet1!$A$2:$A$8</c:f>
              <c:strCache>
                <c:ptCount val="7"/>
                <c:pt idx="0">
                  <c:v>商业用地</c:v>
                </c:pt>
                <c:pt idx="1">
                  <c:v>工矿仓储用地</c:v>
                </c:pt>
                <c:pt idx="2">
                  <c:v>住宅用地</c:v>
                </c:pt>
                <c:pt idx="3">
                  <c:v>公共管理与公共服务用地</c:v>
                </c:pt>
                <c:pt idx="4">
                  <c:v>交通运输用地</c:v>
                </c:pt>
                <c:pt idx="5">
                  <c:v>水域及水利设施用地</c:v>
                </c:pt>
                <c:pt idx="6">
                  <c:v>特殊用地</c:v>
                </c:pt>
              </c:strCache>
            </c:strRef>
          </c:cat>
          <c:val>
            <c:numRef>
              <c:f>[工作簿1]Sheet1!$C$2:$C$8</c:f>
              <c:numCache>
                <c:formatCode>General</c:formatCode>
                <c:ptCount val="7"/>
                <c:pt idx="0">
                  <c:v>3</c:v>
                </c:pt>
                <c:pt idx="1">
                  <c:v>24.6</c:v>
                </c:pt>
                <c:pt idx="2">
                  <c:v>2.7</c:v>
                </c:pt>
                <c:pt idx="3">
                  <c:v>9.2</c:v>
                </c:pt>
                <c:pt idx="4">
                  <c:v>57.09</c:v>
                </c:pt>
                <c:pt idx="5">
                  <c:v>1.5</c:v>
                </c:pt>
                <c:pt idx="6">
                  <c:v>1.5</c:v>
                </c:pt>
              </c:numCache>
            </c:numRef>
          </c:val>
          <c:smooth val="0"/>
        </c:ser>
        <c:dLbls>
          <c:showLegendKey val="0"/>
          <c:showVal val="0"/>
          <c:showCatName val="0"/>
          <c:showSerName val="0"/>
          <c:showPercent val="0"/>
          <c:showBubbleSize val="0"/>
        </c:dLbls>
        <c:marker val="0"/>
        <c:smooth val="0"/>
        <c:axId val="917920850"/>
        <c:axId val="28987493"/>
      </c:lineChart>
      <c:catAx>
        <c:axId val="237036939"/>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70376875"/>
        <c:crosses val="autoZero"/>
        <c:auto val="1"/>
        <c:lblAlgn val="ctr"/>
        <c:lblOffset val="100"/>
        <c:noMultiLvlLbl val="0"/>
      </c:catAx>
      <c:valAx>
        <c:axId val="470376875"/>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7036939"/>
        <c:crosses val="autoZero"/>
        <c:crossBetween val="between"/>
      </c:valAx>
      <c:catAx>
        <c:axId val="917920850"/>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8987493"/>
        <c:crosses val="autoZero"/>
        <c:auto val="1"/>
        <c:lblAlgn val="ctr"/>
        <c:lblOffset val="100"/>
        <c:noMultiLvlLbl val="0"/>
      </c:catAx>
      <c:valAx>
        <c:axId val="28987493"/>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17920850"/>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近五年居住用地供应总量</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经济适用房用地</c:v>
                </c:pt>
              </c:strCache>
            </c:strRef>
          </c:tx>
          <c:spPr>
            <a:solidFill>
              <a:schemeClr val="accent1"/>
            </a:solidFill>
            <a:ln>
              <a:noFill/>
            </a:ln>
            <a:effectLst/>
          </c:spPr>
          <c:invertIfNegative val="0"/>
          <c:dLbls>
            <c:delete val="1"/>
          </c:dLbls>
          <c:cat>
            <c:strRef>
              <c:f>Sheet1!$A$2:$A$6</c:f>
              <c:strCache>
                <c:ptCount val="5"/>
                <c:pt idx="0">
                  <c:v>2025年</c:v>
                </c:pt>
                <c:pt idx="1">
                  <c:v>2024年</c:v>
                </c:pt>
                <c:pt idx="2">
                  <c:v>2023年</c:v>
                </c:pt>
                <c:pt idx="3">
                  <c:v>2022年</c:v>
                </c:pt>
                <c:pt idx="4">
                  <c:v>2021年</c:v>
                </c:pt>
              </c:strCache>
            </c:strRef>
          </c:cat>
          <c:val>
            <c:numRef>
              <c:f>Sheet1!$B$2:$B$6</c:f>
              <c:numCache>
                <c:formatCode>0;\-0;0;@</c:formatCode>
                <c:ptCount val="5"/>
                <c:pt idx="0">
                  <c:v>0</c:v>
                </c:pt>
                <c:pt idx="1">
                  <c:v>0</c:v>
                </c:pt>
                <c:pt idx="2">
                  <c:v>0</c:v>
                </c:pt>
                <c:pt idx="3">
                  <c:v>0</c:v>
                </c:pt>
                <c:pt idx="4">
                  <c:v>0</c:v>
                </c:pt>
              </c:numCache>
            </c:numRef>
          </c:val>
        </c:ser>
        <c:ser>
          <c:idx val="1"/>
          <c:order val="1"/>
          <c:tx>
            <c:strRef>
              <c:f>Sheet1!$C$1</c:f>
              <c:strCache>
                <c:ptCount val="1"/>
                <c:pt idx="0">
                  <c:v>商品房用地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2025年</c:v>
                </c:pt>
                <c:pt idx="1">
                  <c:v>2024年</c:v>
                </c:pt>
                <c:pt idx="2">
                  <c:v>2023年</c:v>
                </c:pt>
                <c:pt idx="3">
                  <c:v>2022年</c:v>
                </c:pt>
                <c:pt idx="4">
                  <c:v>2021年</c:v>
                </c:pt>
              </c:strCache>
            </c:strRef>
          </c:cat>
          <c:val>
            <c:numRef>
              <c:f>Sheet1!$C$2:$C$6</c:f>
              <c:numCache>
                <c:formatCode>0.00_ </c:formatCode>
                <c:ptCount val="5"/>
                <c:pt idx="0">
                  <c:v>0.4612</c:v>
                </c:pt>
                <c:pt idx="1">
                  <c:v>12.8934</c:v>
                </c:pt>
                <c:pt idx="2">
                  <c:v>14.199</c:v>
                </c:pt>
                <c:pt idx="3">
                  <c:v>15.4188</c:v>
                </c:pt>
                <c:pt idx="4">
                  <c:v>28.0735</c:v>
                </c:pt>
              </c:numCache>
            </c:numRef>
          </c:val>
        </c:ser>
        <c:dLbls>
          <c:showLegendKey val="0"/>
          <c:showVal val="0"/>
          <c:showCatName val="0"/>
          <c:showSerName val="0"/>
          <c:showPercent val="0"/>
          <c:showBubbleSize val="0"/>
        </c:dLbls>
        <c:gapWidth val="150"/>
        <c:overlap val="0"/>
        <c:axId val="72093546"/>
        <c:axId val="519342282"/>
      </c:barChart>
      <c:lineChart>
        <c:grouping val="standard"/>
        <c:varyColors val="0"/>
        <c:ser>
          <c:idx val="2"/>
          <c:order val="2"/>
          <c:tx>
            <c:strRef>
              <c:f>Sheet1!$D$1</c:f>
              <c:strCache>
                <c:ptCount val="1"/>
                <c:pt idx="0">
                  <c:v>平均值</c:v>
                </c:pt>
              </c:strCache>
            </c:strRef>
          </c:tx>
          <c:spPr>
            <a:ln w="28575" cap="rnd">
              <a:solidFill>
                <a:schemeClr val="accent3"/>
              </a:solidFill>
              <a:round/>
            </a:ln>
            <a:effectLst/>
          </c:spPr>
          <c:marker>
            <c:symbol val="none"/>
          </c:marker>
          <c:dLbls>
            <c:dLbl>
              <c:idx val="0"/>
              <c:layout>
                <c:manualLayout>
                  <c:x val="-0.118938816958619"/>
                  <c:y val="-0.018468871015787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2025年</c:v>
                </c:pt>
                <c:pt idx="1">
                  <c:v>2024年</c:v>
                </c:pt>
                <c:pt idx="2">
                  <c:v>2023年</c:v>
                </c:pt>
                <c:pt idx="3">
                  <c:v>2022年</c:v>
                </c:pt>
                <c:pt idx="4">
                  <c:v>2021年</c:v>
                </c:pt>
              </c:strCache>
            </c:strRef>
          </c:cat>
          <c:val>
            <c:numRef>
              <c:f>Sheet1!$D$2:$D$6</c:f>
              <c:numCache>
                <c:formatCode>0.00_ </c:formatCode>
                <c:ptCount val="5"/>
                <c:pt idx="0">
                  <c:v>14.2</c:v>
                </c:pt>
                <c:pt idx="1">
                  <c:v>14.2</c:v>
                </c:pt>
                <c:pt idx="2">
                  <c:v>14.2</c:v>
                </c:pt>
                <c:pt idx="3">
                  <c:v>14.2</c:v>
                </c:pt>
                <c:pt idx="4">
                  <c:v>14.2</c:v>
                </c:pt>
              </c:numCache>
            </c:numRef>
          </c:val>
          <c:smooth val="0"/>
        </c:ser>
        <c:dLbls>
          <c:showLegendKey val="0"/>
          <c:showVal val="0"/>
          <c:showCatName val="0"/>
          <c:showSerName val="0"/>
          <c:showPercent val="0"/>
          <c:showBubbleSize val="0"/>
        </c:dLbls>
        <c:marker val="0"/>
        <c:smooth val="0"/>
        <c:axId val="72093546"/>
        <c:axId val="519342282"/>
      </c:lineChart>
      <c:catAx>
        <c:axId val="720935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342282"/>
        <c:crosses val="autoZero"/>
        <c:auto val="1"/>
        <c:lblAlgn val="ctr"/>
        <c:lblOffset val="100"/>
        <c:noMultiLvlLbl val="0"/>
      </c:catAx>
      <c:valAx>
        <c:axId val="519342282"/>
        <c:scaling>
          <c:orientation val="minMax"/>
        </c:scaling>
        <c:delete val="1"/>
        <c:axPos val="l"/>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9354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874CB"/>
  <a:srgbClr val="EE822F"/>
  <a:srgbClr val="F2BA02"/>
  <a:srgbClr val="75BD42"/>
  <a:srgbClr val="30C0B4"/>
  <a:srgbClr val="E54C5E"/>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30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98">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fc1b870e-de67-4821-9b21-4486f622eb39</errorID>
      <errorWord xmlns="http://schemas.wps.cn/vas-ai-hub/contract-review">国土</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自然资源</item>
      </candidateList>
      <explain xmlns="http://schemas.wps.cn/vas-ai-hub/contract-review"/>
      <paraID xmlns="http://schemas.wps.cn/vas-ai-hub/contract-review">607D7003</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635fcb26-1ce8-4a4c-8b26-faf7723577cd</errorID>
      <errorWord xmlns="http://schemas.wps.cn/vas-ai-hub/contract-review">国家林业局</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国家林业和草原局</item>
      </candidateList>
      <explain xmlns="http://schemas.wps.cn/vas-ai-hub/contract-review"/>
      <paraID xmlns="http://schemas.wps.cn/vas-ai-hub/contract-review">607D7003</paraID>
      <start xmlns="http://schemas.wps.cn/vas-ai-hub/contract-review">30</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ac7dff55-896a-43ee-b24c-e9ea6befa3b1</errorID>
      <errorWord xmlns="http://schemas.wps.cn/vas-ai-hub/contract-review">黑龙江省土地管理条例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该法规已废止，请注意检查引用是否正确。</explain>
      <paraID xmlns="http://schemas.wps.cn/vas-ai-hub/contract-review">5BF458C9</paraID>
      <start xmlns="http://schemas.wps.cn/vas-ai-hub/contract-review">4</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244c0c0a-2abd-46c6-b9dc-0152c877f26a</errorID>
      <errorWord xmlns="http://schemas.wps.cn/vas-ai-hub/contract-review">二</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一</item>
      </candidateList>
      <explain xmlns="http://schemas.wps.cn/vas-ai-hub/contract-review"/>
      <paraID xmlns="http://schemas.wps.cn/vas-ai-hub/contract-review">5A648784</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a8c48-8c0c-450c-a639-35d749e3329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4578</Words>
  <Characters>4830</Characters>
  <Lines>0</Lines>
  <Paragraphs>0</Paragraphs>
  <TotalTime>2</TotalTime>
  <ScaleCrop>false</ScaleCrop>
  <LinksUpToDate>false</LinksUpToDate>
  <CharactersWithSpaces>5261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2022-02-12T17:07:00Z</dcterms:created>
  <dc:creator>Administrator</dc:creator>
  <cp:lastModifiedBy>平静的海洋</cp:lastModifiedBy>
  <cp:lastPrinted>2026-03-20T16:46:00Z</cp:lastPrinted>
  <dcterms:modified xsi:type="dcterms:W3CDTF">2026-04-08T01:50:22Z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9C6DAD2F11DD4212ADF04AAF6EDF689F_13</vt:lpwstr>
  </property>
  <property fmtid="{D5CDD505-2E9C-101B-9397-08002B2CF9AE}" pid="4" name="KSOTemplateDocerSaveRecord">
    <vt:lpwstr>eyJoZGlkIjoiNjYxNzEyNzcyYjBmOTQ5N2M4NDZiN2NlYmJiYzY1OGUiLCJ1c2VySWQiOiI0OTcwNTc4MTkifQ==</vt:lpwstr>
  </property>
</Properties>
</file>