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5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2026年绥化市政府消费券“动态企业库”中成品油类、商场百货类企业名单</w:t>
      </w:r>
    </w:p>
    <w:p>
      <w:pPr>
        <w:pStyle w:val="4"/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（名单可扫码查看）</w:t>
      </w:r>
      <w:bookmarkStart w:id="0" w:name="_GoBack"/>
      <w:bookmarkEnd w:id="0"/>
    </w:p>
    <w:p>
      <w:pPr>
        <w:pStyle w:val="4"/>
        <w:bidi w:val="0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1" name="图片 1" descr="附件5.2026年绥化市政府消费券“动态企业库”中成品油类、商场百货类企业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5.2026年绥化市政府消费券“动态企业库”中成品油类、商场百货类企业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1F5B0B87"/>
    <w:rsid w:val="3C794F44"/>
    <w:rsid w:val="5CC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5">
    <w:name w:val="畅-正文"/>
    <w:basedOn w:val="1"/>
    <w:qFormat/>
    <w:uiPriority w:val="0"/>
    <w:pPr>
      <w:spacing w:line="560" w:lineRule="exact"/>
      <w:ind w:firstLine="800" w:firstLineChars="200"/>
    </w:pPr>
    <w:rPr>
      <w:rFonts w:hint="eastAsia" w:ascii="Times New Roman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2026-04-23T07:38:08Z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</Properties>
</file>